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49" w:rsidRDefault="00FF2849" w:rsidP="00FF2849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F2849" w:rsidRDefault="00FF2849" w:rsidP="00FF2849">
      <w:pPr>
        <w:spacing w:line="460" w:lineRule="exact"/>
        <w:ind w:left="1" w:rightChars="-7" w:right="-15"/>
        <w:jc w:val="center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>专题培训班工作方案</w:t>
      </w:r>
    </w:p>
    <w:p w:rsidR="00FF2849" w:rsidRDefault="00FF2849" w:rsidP="00FF2849">
      <w:pPr>
        <w:spacing w:beforeLines="150" w:before="468"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主办单位：中国总会计师协会</w:t>
      </w:r>
    </w:p>
    <w:p w:rsidR="00FF2849" w:rsidRDefault="00FF2849" w:rsidP="00FF2849">
      <w:pPr>
        <w:spacing w:afterLines="50" w:after="156"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承办单位：《中国总会计师》杂志社</w:t>
      </w:r>
    </w:p>
    <w:p w:rsidR="00FF2849" w:rsidRDefault="00FF2849" w:rsidP="00FF2849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一、时间地点</w:t>
      </w:r>
    </w:p>
    <w:p w:rsidR="00FF2849" w:rsidRDefault="00FF2849" w:rsidP="00FF2849">
      <w:pPr>
        <w:spacing w:line="460" w:lineRule="exac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>（一）专题：“一带一路”背景下的财务管理创新及战略导向的财务分析与成本管理</w:t>
      </w:r>
    </w:p>
    <w:p w:rsidR="00FF2849" w:rsidRDefault="00FF2849" w:rsidP="00FF2849">
      <w:pPr>
        <w:spacing w:line="460" w:lineRule="exac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 xml:space="preserve">    时间：2017年7月21日—25日</w:t>
      </w:r>
    </w:p>
    <w:p w:rsidR="00FF2849" w:rsidRDefault="00FF2849" w:rsidP="00FF2849">
      <w:pPr>
        <w:spacing w:line="460" w:lineRule="exac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 xml:space="preserve">    地点：威海</w:t>
      </w:r>
    </w:p>
    <w:p w:rsidR="00FF2849" w:rsidRDefault="00FF2849" w:rsidP="00FF2849">
      <w:pPr>
        <w:spacing w:line="460" w:lineRule="exac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>（二）专题:全面预算管理优化与PPP项目的财务筹划、财税管理</w:t>
      </w:r>
    </w:p>
    <w:p w:rsidR="00FF2849" w:rsidRDefault="00FF2849" w:rsidP="00FF2849">
      <w:pPr>
        <w:spacing w:line="460" w:lineRule="exac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 xml:space="preserve">    时间：2017年8月11日—15日</w:t>
      </w:r>
    </w:p>
    <w:p w:rsidR="00FF2849" w:rsidRDefault="00FF2849" w:rsidP="00FF2849">
      <w:pPr>
        <w:spacing w:line="460" w:lineRule="exac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 xml:space="preserve">    地点：呼和浩特</w:t>
      </w:r>
    </w:p>
    <w:p w:rsidR="00FF2849" w:rsidRDefault="00FF2849" w:rsidP="00FF2849">
      <w:pPr>
        <w:spacing w:line="460" w:lineRule="exac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>（三）专题:供给侧改革下的资金管理与运营、风险防范</w:t>
      </w:r>
    </w:p>
    <w:p w:rsidR="00FF2849" w:rsidRDefault="00FF2849" w:rsidP="00FF2849">
      <w:pPr>
        <w:spacing w:line="460" w:lineRule="exac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 xml:space="preserve">    时间：2017年8月24日—28日</w:t>
      </w:r>
    </w:p>
    <w:p w:rsidR="00FF2849" w:rsidRDefault="00FF2849" w:rsidP="00FF2849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地点：乌鲁木齐</w:t>
      </w:r>
    </w:p>
    <w:p w:rsidR="00FF2849" w:rsidRDefault="00FF2849" w:rsidP="00FF2849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（培训具体地址开班前一周见报到通知）</w:t>
      </w:r>
    </w:p>
    <w:p w:rsidR="00FF2849" w:rsidRDefault="00FF2849" w:rsidP="00FF2849">
      <w:pPr>
        <w:spacing w:line="460" w:lineRule="exact"/>
        <w:rPr>
          <w:rFonts w:ascii="仿宋" w:eastAsia="仿宋" w:hAnsi="仿宋" w:cs="仿宋"/>
          <w:sz w:val="32"/>
          <w:szCs w:val="32"/>
        </w:rPr>
      </w:pPr>
    </w:p>
    <w:p w:rsidR="00FF2849" w:rsidRDefault="00FF2849" w:rsidP="00FF2849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二、参会对象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府机关、企事业单位的负责人、总会计师、财务总监、首席财务官、司库、财务经理、财务主管、会计人员等；税务总监、财务（税务）经理等中高级财务管理人员、税务部门（税务岗位）的专业人员；信息化负责人、人力资源部门负责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；投资分析与研究人员等；金融行业金融分析师、风险控制师；大中专院校会计专业教师；财务、税务、法律等中介机构相关人员；管理会计信息化相关应用软件提供机构人员；需要加强会计知识学习和提升的各单位的主要负责人等。</w:t>
      </w:r>
    </w:p>
    <w:p w:rsidR="00FF2849" w:rsidRDefault="00FF2849" w:rsidP="00FF2849">
      <w:pPr>
        <w:spacing w:line="460" w:lineRule="exact"/>
        <w:rPr>
          <w:rFonts w:ascii="仿宋" w:eastAsia="仿宋" w:hAnsi="仿宋" w:cs="仿宋"/>
          <w:sz w:val="32"/>
          <w:szCs w:val="32"/>
        </w:rPr>
      </w:pPr>
    </w:p>
    <w:p w:rsidR="00FF2849" w:rsidRDefault="00FF2849" w:rsidP="00FF2849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三、培训内容</w:t>
      </w:r>
    </w:p>
    <w:p w:rsidR="00FF2849" w:rsidRDefault="00FF2849" w:rsidP="00FF2849">
      <w:pPr>
        <w:spacing w:line="460" w:lineRule="exact"/>
        <w:ind w:firstLineChars="198" w:firstLine="636"/>
        <w:jc w:val="left"/>
        <w:rPr>
          <w:rFonts w:ascii="仿宋" w:eastAsia="仿宋" w:hAnsi="仿宋" w:cs="黑体"/>
          <w:b/>
          <w:kern w:val="1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专题一、</w:t>
      </w:r>
      <w:r>
        <w:rPr>
          <w:rFonts w:ascii="仿宋" w:eastAsia="仿宋" w:hAnsi="仿宋" w:cs="黑体" w:hint="eastAsia"/>
          <w:b/>
          <w:kern w:val="10"/>
          <w:sz w:val="32"/>
          <w:szCs w:val="32"/>
        </w:rPr>
        <w:t>“一带一路”背景下的财务管理创新及战略导向的财务分析与成本管理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（一）财务管理创新及</w:t>
      </w:r>
      <w:r>
        <w:rPr>
          <w:rFonts w:ascii="仿宋" w:eastAsia="仿宋" w:hAnsi="仿宋" w:cs="仿宋" w:hint="eastAsia"/>
          <w:sz w:val="32"/>
          <w:szCs w:val="32"/>
        </w:rPr>
        <w:t>战略思维下的财务分析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财务管理创新的理论与实务；</w:t>
      </w:r>
      <w:r>
        <w:rPr>
          <w:rFonts w:ascii="仿宋" w:eastAsia="仿宋" w:hAnsi="仿宋" w:hint="eastAsia"/>
          <w:sz w:val="32"/>
          <w:szCs w:val="32"/>
        </w:rPr>
        <w:t>财务报表分析的方法；</w:t>
      </w:r>
      <w:r>
        <w:rPr>
          <w:rFonts w:ascii="仿宋_GB2312" w:eastAsia="仿宋_GB2312" w:hAnsi="宋体" w:cs="仿宋" w:hint="eastAsia"/>
          <w:sz w:val="30"/>
          <w:szCs w:val="30"/>
        </w:rPr>
        <w:t>财务报表舞弊和粉饰的识别；</w:t>
      </w:r>
      <w:r>
        <w:rPr>
          <w:rFonts w:ascii="仿宋" w:eastAsia="仿宋" w:hAnsi="仿宋" w:hint="eastAsia"/>
          <w:sz w:val="32"/>
          <w:szCs w:val="32"/>
        </w:rPr>
        <w:t>资产的使用效率分析；盈利能力和成长能力分析；从不同活动现金流量之间的关系看企业运作及风险；杜邦分析体系</w:t>
      </w:r>
    </w:p>
    <w:p w:rsidR="00FF2849" w:rsidRDefault="00FF2849" w:rsidP="00FF2849">
      <w:pPr>
        <w:pStyle w:val="padding2em"/>
        <w:spacing w:before="0" w:beforeAutospacing="0" w:after="0" w:afterAutospacing="0" w:line="460" w:lineRule="exact"/>
        <w:ind w:firstLineChars="195" w:firstLine="624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kern w:val="2"/>
          <w:sz w:val="32"/>
          <w:szCs w:val="32"/>
        </w:rPr>
        <w:t>战略成本管理</w:t>
      </w:r>
    </w:p>
    <w:p w:rsidR="00FF2849" w:rsidRDefault="00FF2849" w:rsidP="00FF2849">
      <w:pPr>
        <w:pStyle w:val="padding2em"/>
        <w:spacing w:before="0" w:beforeAutospacing="0" w:after="0" w:afterAutospacing="0" w:line="460" w:lineRule="exact"/>
        <w:ind w:firstLineChars="195" w:firstLine="624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目前我国企业成本管理的误区；现代企业成本管理的特点；战略成本管理的方法</w:t>
      </w:r>
      <w:r>
        <w:rPr>
          <w:rFonts w:ascii="仿宋" w:eastAsia="仿宋" w:hAnsi="仿宋" w:cs="仿宋"/>
          <w:kern w:val="2"/>
          <w:sz w:val="32"/>
          <w:szCs w:val="32"/>
        </w:rPr>
        <w:t>:</w:t>
      </w:r>
      <w:r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kern w:val="2"/>
          <w:sz w:val="32"/>
          <w:szCs w:val="32"/>
        </w:rPr>
        <w:t>）战略定位分析，（</w:t>
      </w:r>
      <w:r>
        <w:rPr>
          <w:rFonts w:ascii="仿宋" w:eastAsia="仿宋" w:hAnsi="仿宋" w:cs="仿宋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）价值链分析，（</w:t>
      </w:r>
      <w:r>
        <w:rPr>
          <w:rFonts w:ascii="仿宋" w:eastAsia="仿宋" w:hAnsi="仿宋" w:cs="仿宋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）战略成本动因分析，（</w:t>
      </w:r>
      <w:r>
        <w:rPr>
          <w:rFonts w:ascii="仿宋" w:eastAsia="仿宋" w:hAnsi="仿宋" w:cs="仿宋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）作业成本管理，（</w:t>
      </w:r>
      <w:r>
        <w:rPr>
          <w:rFonts w:ascii="仿宋" w:eastAsia="仿宋" w:hAnsi="仿宋" w:cs="仿宋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kern w:val="2"/>
          <w:sz w:val="32"/>
          <w:szCs w:val="32"/>
        </w:rPr>
        <w:t>）目标成本法；成本降解行动计划；打造成本管控的核心竞争力；企业成本管理案例解析</w:t>
      </w:r>
    </w:p>
    <w:p w:rsidR="00FF2849" w:rsidRDefault="00FF2849" w:rsidP="00FF2849">
      <w:pPr>
        <w:pStyle w:val="padding2em"/>
        <w:spacing w:before="0" w:beforeAutospacing="0" w:after="0" w:afterAutospacing="0" w:line="460" w:lineRule="exact"/>
        <w:ind w:firstLineChars="195" w:firstLine="624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kern w:val="2"/>
          <w:sz w:val="32"/>
          <w:szCs w:val="32"/>
        </w:rPr>
        <w:t>财务报表分析在战略成本管理中的应用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运用财务报表数据评价企业的成本管理活动；运用财务报表数据发现企业的成本管理中的问题；管理分析报告的写作</w:t>
      </w:r>
    </w:p>
    <w:p w:rsidR="00FF2849" w:rsidRDefault="00FF2849" w:rsidP="00FF2849">
      <w:pPr>
        <w:spacing w:line="4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bCs/>
          <w:sz w:val="32"/>
          <w:szCs w:val="32"/>
        </w:rPr>
        <w:t>财务报表、成本管理信息化</w:t>
      </w:r>
    </w:p>
    <w:p w:rsidR="00FF2849" w:rsidRDefault="00FF2849" w:rsidP="00FF2849">
      <w:pPr>
        <w:spacing w:line="460" w:lineRule="exact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FF2849" w:rsidRDefault="00FF2849" w:rsidP="00FF2849">
      <w:pPr>
        <w:spacing w:line="460" w:lineRule="exact"/>
        <w:jc w:val="left"/>
        <w:rPr>
          <w:rFonts w:ascii="仿宋" w:eastAsia="仿宋" w:hAnsi="仿宋" w:cs="黑体"/>
          <w:bCs/>
          <w:kern w:val="1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专题二、</w:t>
      </w:r>
      <w:r>
        <w:rPr>
          <w:rFonts w:ascii="仿宋" w:eastAsia="仿宋" w:hAnsi="仿宋" w:cs="黑体" w:hint="eastAsia"/>
          <w:b/>
          <w:bCs/>
          <w:kern w:val="10"/>
          <w:sz w:val="32"/>
          <w:szCs w:val="32"/>
        </w:rPr>
        <w:t>全面预算管理优化与</w:t>
      </w:r>
      <w:r>
        <w:rPr>
          <w:rFonts w:ascii="仿宋" w:eastAsia="仿宋" w:hAnsi="仿宋" w:cs="黑体"/>
          <w:b/>
          <w:bCs/>
          <w:kern w:val="10"/>
          <w:sz w:val="32"/>
          <w:szCs w:val="32"/>
        </w:rPr>
        <w:t>PPP</w:t>
      </w:r>
      <w:r>
        <w:rPr>
          <w:rFonts w:ascii="仿宋" w:eastAsia="仿宋" w:hAnsi="仿宋" w:cs="黑体" w:hint="eastAsia"/>
          <w:b/>
          <w:bCs/>
          <w:kern w:val="10"/>
          <w:sz w:val="32"/>
          <w:szCs w:val="32"/>
        </w:rPr>
        <w:t>项目的财务筹划、财税管理</w:t>
      </w:r>
    </w:p>
    <w:p w:rsidR="00FF2849" w:rsidRDefault="00FF2849" w:rsidP="00FF2849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Cs/>
          <w:kern w:val="1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（一）企业预算管理体系优化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预算管理在企业管理中的定位，预算管理的组织与制度建设，预算的编制、执行控制与分析、预算调整，预算考核，案例分享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（二）预算管理信息化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预算管理信息化概述，</w:t>
      </w:r>
      <w:r>
        <w:rPr>
          <w:rFonts w:ascii="仿宋" w:eastAsia="仿宋" w:hAnsi="仿宋" w:cs="仿宋"/>
          <w:sz w:val="32"/>
          <w:szCs w:val="32"/>
        </w:rPr>
        <w:t>IT</w:t>
      </w:r>
      <w:r>
        <w:rPr>
          <w:rFonts w:ascii="仿宋" w:eastAsia="仿宋" w:hAnsi="仿宋" w:cs="仿宋" w:hint="eastAsia"/>
          <w:sz w:val="32"/>
          <w:szCs w:val="32"/>
        </w:rPr>
        <w:t>时代的预算管理对信息系统的要求，主流全面预算信息系统介绍，全面预算信息系统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应用案例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项目公司的财务筹划及财税管理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项目前期费用的财税处理；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项目用地的涉税分析；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征地拆迁的财税管理；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项目政府补助的财税管理；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项目收入的财税管理；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项目的成本管理；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项目资产移交和项目公司清算的税务处理；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项目融资及资产证券化的财税管理；</w:t>
      </w:r>
      <w:r>
        <w:rPr>
          <w:rFonts w:ascii="仿宋" w:eastAsia="仿宋" w:hAnsi="仿宋" w:cs="仿宋"/>
          <w:sz w:val="32"/>
          <w:szCs w:val="32"/>
        </w:rPr>
        <w:t>PPP</w:t>
      </w:r>
      <w:r>
        <w:rPr>
          <w:rFonts w:ascii="仿宋" w:eastAsia="仿宋" w:hAnsi="仿宋" w:cs="仿宋" w:hint="eastAsia"/>
          <w:sz w:val="32"/>
          <w:szCs w:val="32"/>
        </w:rPr>
        <w:t>项目的风险管控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</w:p>
    <w:p w:rsidR="00FF2849" w:rsidRDefault="00FF2849" w:rsidP="00FF2849">
      <w:pPr>
        <w:spacing w:line="460" w:lineRule="exact"/>
        <w:ind w:firstLineChars="198" w:firstLine="636"/>
        <w:jc w:val="left"/>
        <w:rPr>
          <w:rFonts w:ascii="仿宋" w:eastAsia="仿宋" w:hAnsi="仿宋" w:cs="黑体"/>
          <w:b/>
          <w:bCs/>
          <w:kern w:val="1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专题三、</w:t>
      </w:r>
      <w:r>
        <w:rPr>
          <w:rFonts w:ascii="仿宋" w:eastAsia="仿宋" w:hAnsi="仿宋" w:cs="黑体" w:hint="eastAsia"/>
          <w:b/>
          <w:bCs/>
          <w:kern w:val="10"/>
          <w:sz w:val="32"/>
          <w:szCs w:val="32"/>
        </w:rPr>
        <w:t>供给侧结构性改革下的资金管理与运营、风险防范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bCs/>
          <w:sz w:val="32"/>
          <w:szCs w:val="32"/>
        </w:rPr>
        <w:t>供给侧改革背景下企业的资本运作与转型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给侧改革的金融环境分析，供给侧改革的实质，供给侧改革的国际先例，银行信贷与僵尸企业，僵尸企业的类型与行业分布，资产证券化、债转股与投贷联动，企业转型中需要掌握的经济结构优化调整的方向，产业资本与金融资本的融合，企业的金融全牌照现象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（二）集团企业现金流管理与控制实务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筹资管理：多渠道筹资、低成本融资、合理的财务结构、良好的市场信誉、集中统一的融资管理体系；营运资金管理：流动资产管理、货币资金管理、应收项目管理、存货管理；流动负债管理：有息负债与无息负债、商业信用；投资管理：投资管理原则</w:t>
      </w:r>
      <w:r>
        <w:rPr>
          <w:rFonts w:ascii="仿宋" w:eastAsia="仿宋" w:hAnsi="仿宋" w:cs="仿宋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审慎原则与平衡、投资项目评估、投资资金管理的原则、资本运作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（三）现金流量管理与营运资本分析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未来现金流预测；企业资金周转危机原因分析与解决对策；营运资本因素分析；营运资本管理中常见错误解析；集团公司的“现金池”管理；国际先进的营运资本分析方法；主营业务及非主营业务营运资本分析；不同产品的营运资本分析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（四）企业融资实务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企业融资所处当前的经济环境分析；本轮经济下行给企业融资带来的危机与启示；当前企业发展机遇与融资路径选择；非常规企业融资渠道（投资标准、交易结构及案例分析）；上市公司的融资（交易结构及案例分析）；非上市公司的融资（国有或国有控股公司、民营企业）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（五）资金管理风险防控</w:t>
      </w:r>
    </w:p>
    <w:p w:rsidR="00FF2849" w:rsidRDefault="00FF2849" w:rsidP="00FF2849">
      <w:pPr>
        <w:spacing w:line="460" w:lineRule="exact"/>
        <w:ind w:firstLineChars="198" w:firstLine="63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企业现金流管理及投融资实务中的风险点及防控，案例分享</w:t>
      </w:r>
    </w:p>
    <w:p w:rsidR="00FF2849" w:rsidRDefault="00FF2849" w:rsidP="00FF2849">
      <w:pPr>
        <w:spacing w:line="440" w:lineRule="exact"/>
        <w:ind w:firstLineChars="198" w:firstLine="594"/>
        <w:jc w:val="left"/>
        <w:rPr>
          <w:rFonts w:ascii="仿宋_GB2312" w:eastAsia="仿宋_GB2312" w:hAnsi="宋体" w:cs="仿宋"/>
          <w:bCs/>
          <w:sz w:val="30"/>
          <w:szCs w:val="30"/>
        </w:rPr>
      </w:pPr>
      <w:r>
        <w:rPr>
          <w:rFonts w:ascii="仿宋_GB2312" w:eastAsia="仿宋_GB2312" w:hAnsi="宋体" w:cs="仿宋" w:hint="eastAsia"/>
          <w:bCs/>
          <w:sz w:val="30"/>
          <w:szCs w:val="30"/>
        </w:rPr>
        <w:t>（六）企业司库</w:t>
      </w:r>
    </w:p>
    <w:p w:rsidR="00FF2849" w:rsidRDefault="00FF2849" w:rsidP="00FF2849">
      <w:pPr>
        <w:spacing w:line="46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   资金管理集中化、财务公司与司库管理的关系，财务共享服务中心如何发挥司库的部分职能，司库在企业集团财务管理中的角色定位，司库运行流程与体系建设，企业司库的信息化建设</w:t>
      </w:r>
    </w:p>
    <w:p w:rsidR="00FF2849" w:rsidRDefault="00FF2849" w:rsidP="00FF2849">
      <w:pPr>
        <w:spacing w:line="440" w:lineRule="exact"/>
        <w:ind w:firstLineChars="198" w:firstLine="594"/>
        <w:jc w:val="left"/>
        <w:rPr>
          <w:rFonts w:ascii="仿宋_GB2312" w:eastAsia="仿宋_GB2312" w:hAnsi="宋体" w:cs="仿宋"/>
          <w:bCs/>
          <w:sz w:val="30"/>
          <w:szCs w:val="30"/>
        </w:rPr>
      </w:pPr>
      <w:r>
        <w:rPr>
          <w:rFonts w:ascii="仿宋_GB2312" w:eastAsia="仿宋_GB2312" w:hAnsi="宋体" w:cs="仿宋" w:hint="eastAsia"/>
          <w:bCs/>
          <w:sz w:val="30"/>
          <w:szCs w:val="30"/>
        </w:rPr>
        <w:t>（七）资金管理信息化解决方案分享</w:t>
      </w:r>
    </w:p>
    <w:p w:rsidR="00FF2849" w:rsidRDefault="00FF2849" w:rsidP="00FF2849">
      <w:pPr>
        <w:spacing w:line="460" w:lineRule="exact"/>
        <w:rPr>
          <w:rFonts w:ascii="仿宋_GB2312" w:eastAsia="仿宋_GB2312" w:hAnsi="宋体" w:cs="仿宋"/>
          <w:sz w:val="30"/>
          <w:szCs w:val="30"/>
        </w:rPr>
      </w:pPr>
    </w:p>
    <w:p w:rsidR="00FF2849" w:rsidRDefault="00FF2849" w:rsidP="00FF2849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四、师资力量</w:t>
      </w:r>
    </w:p>
    <w:p w:rsidR="00FF2849" w:rsidRDefault="00FF2849" w:rsidP="00FF2849">
      <w:pPr>
        <w:snapToGrid w:val="0"/>
        <w:spacing w:line="460" w:lineRule="exact"/>
        <w:ind w:firstLineChars="198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政府机关、学院、企业界等具有深厚理论功底和丰富实践经验的专家和教授组成。</w:t>
      </w:r>
    </w:p>
    <w:p w:rsidR="00FF2849" w:rsidRDefault="00FF2849" w:rsidP="00FF2849">
      <w:pPr>
        <w:spacing w:line="460" w:lineRule="exact"/>
        <w:ind w:firstLine="601"/>
        <w:rPr>
          <w:rFonts w:ascii="仿宋" w:eastAsia="仿宋" w:hAnsi="仿宋" w:cs="仿宋"/>
          <w:sz w:val="32"/>
          <w:szCs w:val="32"/>
        </w:rPr>
      </w:pPr>
    </w:p>
    <w:p w:rsidR="00FF2849" w:rsidRDefault="00FF2849" w:rsidP="00FF2849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五、培训费用</w:t>
      </w:r>
    </w:p>
    <w:p w:rsidR="00FF2849" w:rsidRDefault="00FF2849" w:rsidP="00FF2849">
      <w:pPr>
        <w:snapToGrid w:val="0"/>
        <w:spacing w:line="460" w:lineRule="exact"/>
        <w:ind w:firstLineChars="198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收费标准：每期</w:t>
      </w:r>
      <w:r>
        <w:rPr>
          <w:rFonts w:ascii="仿宋" w:eastAsia="仿宋" w:hAnsi="仿宋" w:cs="仿宋"/>
          <w:sz w:val="32"/>
          <w:szCs w:val="32"/>
        </w:rPr>
        <w:t>2900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包括专家授课费、资料费、教学场租设备费等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。培训期间用餐和住宿统一安排，费用自理；往返交通等费用自理。</w:t>
      </w:r>
    </w:p>
    <w:p w:rsidR="00FF2849" w:rsidRDefault="00FF2849" w:rsidP="00FF2849">
      <w:pPr>
        <w:spacing w:line="460" w:lineRule="exact"/>
        <w:ind w:firstLine="601"/>
        <w:rPr>
          <w:rFonts w:ascii="仿宋" w:eastAsia="仿宋" w:hAnsi="仿宋" w:cs="仿宋"/>
          <w:sz w:val="32"/>
          <w:szCs w:val="32"/>
        </w:rPr>
      </w:pPr>
    </w:p>
    <w:p w:rsidR="00FF2849" w:rsidRDefault="00FF2849" w:rsidP="00FF2849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六、培训证书</w:t>
      </w:r>
    </w:p>
    <w:p w:rsidR="00FF2849" w:rsidRDefault="00FF2849" w:rsidP="00FF2849">
      <w:pPr>
        <w:snapToGrid w:val="0"/>
        <w:spacing w:line="460" w:lineRule="exact"/>
        <w:ind w:firstLineChars="198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培训班学习期满，完成教学计划规定的全部课程，由中国总会计师协会颁发《培训结业证书》。</w:t>
      </w:r>
    </w:p>
    <w:p w:rsidR="00FF2849" w:rsidRDefault="00FF2849" w:rsidP="00FF2849">
      <w:pPr>
        <w:spacing w:line="460" w:lineRule="exact"/>
        <w:ind w:firstLine="601"/>
        <w:rPr>
          <w:rFonts w:ascii="仿宋" w:eastAsia="仿宋" w:hAnsi="仿宋" w:cs="仿宋"/>
          <w:sz w:val="32"/>
          <w:szCs w:val="32"/>
        </w:rPr>
      </w:pPr>
    </w:p>
    <w:p w:rsidR="00FF2849" w:rsidRDefault="00FF2849" w:rsidP="00FF2849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七、联系方式</w:t>
      </w:r>
    </w:p>
    <w:p w:rsidR="00FF2849" w:rsidRDefault="00FF2849" w:rsidP="00FF2849">
      <w:pPr>
        <w:snapToGrid w:val="0"/>
        <w:spacing w:line="460" w:lineRule="exact"/>
        <w:ind w:firstLineChars="198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联系人：崔老师</w:t>
      </w:r>
      <w:r>
        <w:rPr>
          <w:rFonts w:ascii="仿宋" w:eastAsia="仿宋" w:hAnsi="仿宋" w:cs="仿宋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/>
          <w:sz w:val="32"/>
          <w:szCs w:val="32"/>
        </w:rPr>
        <w:t>010-</w:t>
      </w:r>
      <w:r>
        <w:rPr>
          <w:rFonts w:ascii="仿宋" w:eastAsia="仿宋" w:hAnsi="仿宋" w:cs="仿宋" w:hint="eastAsia"/>
          <w:sz w:val="32"/>
          <w:szCs w:val="32"/>
        </w:rPr>
        <w:t>63381767</w:t>
      </w:r>
    </w:p>
    <w:p w:rsidR="00FF2849" w:rsidRPr="00B24812" w:rsidRDefault="00FF2849" w:rsidP="00FF2849">
      <w:pPr>
        <w:snapToGrid w:val="0"/>
        <w:spacing w:line="460" w:lineRule="exact"/>
        <w:ind w:firstLineChars="198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传真：010-63381780  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邮箱：</w:t>
      </w:r>
      <w:hyperlink r:id="rId4" w:history="1">
        <w:r w:rsidRPr="00264D8B">
          <w:rPr>
            <w:rStyle w:val="a5"/>
            <w:rFonts w:ascii="仿宋" w:eastAsia="仿宋" w:hAnsi="仿宋" w:cs="仿宋" w:hint="eastAsia"/>
            <w:sz w:val="32"/>
            <w:szCs w:val="32"/>
          </w:rPr>
          <w:t>cfo</w:t>
        </w:r>
        <w:r w:rsidRPr="00264D8B">
          <w:rPr>
            <w:rStyle w:val="a5"/>
            <w:rFonts w:ascii="仿宋" w:eastAsia="仿宋" w:hAnsi="仿宋" w:cs="仿宋"/>
            <w:sz w:val="32"/>
            <w:szCs w:val="32"/>
          </w:rPr>
          <w:t>@</w:t>
        </w:r>
        <w:r w:rsidRPr="00264D8B">
          <w:rPr>
            <w:rStyle w:val="a5"/>
            <w:rFonts w:ascii="仿宋" w:eastAsia="仿宋" w:hAnsi="仿宋" w:cs="仿宋" w:hint="eastAsia"/>
            <w:sz w:val="32"/>
            <w:szCs w:val="32"/>
          </w:rPr>
          <w:t>cmcfo.cn</w:t>
        </w:r>
      </w:hyperlink>
    </w:p>
    <w:p w:rsidR="00ED1531" w:rsidRPr="00FF2849" w:rsidRDefault="00ED1531">
      <w:bookmarkStart w:id="0" w:name="_GoBack"/>
      <w:bookmarkEnd w:id="0"/>
    </w:p>
    <w:sectPr w:rsidR="00ED1531" w:rsidRPr="00FF2849" w:rsidSect="00D74AAC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AC" w:rsidRDefault="00FF28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74AAC" w:rsidRDefault="00FF284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49"/>
    <w:rsid w:val="00145B32"/>
    <w:rsid w:val="00ED1531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947DF-8E60-4879-AB86-6F7B6BD0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84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F28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F2849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Hyperlink"/>
    <w:uiPriority w:val="99"/>
    <w:qFormat/>
    <w:rsid w:val="00FF2849"/>
    <w:rPr>
      <w:rFonts w:cs="Times New Roman"/>
      <w:color w:val="0000FF"/>
      <w:u w:val="single"/>
    </w:rPr>
  </w:style>
  <w:style w:type="paragraph" w:customStyle="1" w:styleId="padding2em">
    <w:name w:val="padding2em"/>
    <w:basedOn w:val="a"/>
    <w:uiPriority w:val="99"/>
    <w:rsid w:val="00FF28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cfo@cmcfo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2017-06-21T06:38:00Z</dcterms:created>
  <dcterms:modified xsi:type="dcterms:W3CDTF">2017-06-21T06:39:00Z</dcterms:modified>
</cp:coreProperties>
</file>