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EDA" w:rsidRDefault="00BD1EDA" w:rsidP="00BD1EDA"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附件1：</w:t>
      </w:r>
    </w:p>
    <w:p w:rsidR="00BD1EDA" w:rsidRDefault="00BD1EDA" w:rsidP="00BD1EDA">
      <w:pPr>
        <w:spacing w:line="560" w:lineRule="exact"/>
        <w:jc w:val="center"/>
        <w:rPr>
          <w:rFonts w:ascii="宋体" w:hAnsi="宋体" w:cs="宋体" w:hint="eastAsia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2018全国医院财务与会计政策、案例与技巧</w:t>
      </w:r>
    </w:p>
    <w:p w:rsidR="00BD1EDA" w:rsidRDefault="00BD1EDA" w:rsidP="00BD1EDA">
      <w:pPr>
        <w:spacing w:line="560" w:lineRule="exact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专业能力</w:t>
      </w:r>
      <w:r>
        <w:rPr>
          <w:rFonts w:ascii="宋体" w:hAnsi="宋体" w:cs="宋体" w:hint="eastAsia"/>
          <w:b/>
          <w:bCs/>
          <w:color w:val="000000"/>
          <w:spacing w:val="17"/>
          <w:sz w:val="36"/>
          <w:szCs w:val="36"/>
        </w:rPr>
        <w:t>提升培训班工作方案</w:t>
      </w:r>
    </w:p>
    <w:p w:rsidR="00BD1EDA" w:rsidRDefault="00BD1EDA" w:rsidP="00BD1EDA">
      <w:pPr>
        <w:spacing w:line="400" w:lineRule="exact"/>
        <w:ind w:firstLineChars="200" w:firstLine="201"/>
        <w:jc w:val="both"/>
        <w:rPr>
          <w:rFonts w:ascii="宋体" w:hAnsi="宋体" w:cs="宋体"/>
          <w:b/>
          <w:bCs/>
          <w:color w:val="000000"/>
          <w:sz w:val="10"/>
          <w:szCs w:val="10"/>
        </w:rPr>
      </w:pPr>
    </w:p>
    <w:p w:rsidR="00BD1EDA" w:rsidRDefault="00BD1EDA" w:rsidP="00BD1EDA">
      <w:pPr>
        <w:spacing w:line="60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主管主办单位：中国总会计师协会</w:t>
      </w:r>
    </w:p>
    <w:p w:rsidR="00BD1EDA" w:rsidRDefault="00BD1EDA" w:rsidP="00BD1EDA">
      <w:pPr>
        <w:spacing w:line="600" w:lineRule="exact"/>
        <w:ind w:firstLineChars="200" w:firstLine="602"/>
        <w:jc w:val="both"/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委托承办单位：北京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长训教育科技有限公司</w:t>
      </w:r>
    </w:p>
    <w:p w:rsidR="00BD1EDA" w:rsidRDefault="00BD1EDA" w:rsidP="00BD1EDA">
      <w:pPr>
        <w:spacing w:line="60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BD1EDA" w:rsidRDefault="00BD1EDA" w:rsidP="00BD1EDA">
      <w:pPr>
        <w:spacing w:line="600" w:lineRule="exact"/>
        <w:ind w:left="596"/>
        <w:jc w:val="both"/>
        <w:rPr>
          <w:rFonts w:ascii="仿宋_GB2312" w:eastAsia="仿宋_GB2312" w:hAnsi="仿宋_GB2312" w:cs="仿宋_GB2312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  <w:shd w:val="clear" w:color="auto" w:fill="FFFFFF"/>
        </w:rPr>
        <w:t>一、地点及时间</w:t>
      </w:r>
    </w:p>
    <w:p w:rsidR="00BD1EDA" w:rsidRPr="00AE3D5F" w:rsidRDefault="00BD1EDA" w:rsidP="00BD1EDA">
      <w:pPr>
        <w:adjustRightInd w:val="0"/>
        <w:snapToGrid w:val="0"/>
        <w:spacing w:line="600" w:lineRule="exact"/>
        <w:ind w:firstLineChars="200" w:firstLine="60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973DFD">
        <w:rPr>
          <w:rFonts w:ascii="仿宋_GB2312" w:eastAsia="仿宋_GB2312" w:hAnsi="仿宋_GB2312" w:cs="仿宋_GB2312" w:hint="eastAsia"/>
          <w:sz w:val="30"/>
          <w:szCs w:val="30"/>
        </w:rPr>
        <w:t>第1期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 w:rsidRPr="00AE3D5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杭州市  2018年4月13日至16日（13日报到）</w:t>
      </w:r>
    </w:p>
    <w:p w:rsidR="00BD1EDA" w:rsidRPr="00AE3D5F" w:rsidRDefault="00BD1EDA" w:rsidP="00BD1EDA">
      <w:pPr>
        <w:adjustRightInd w:val="0"/>
        <w:snapToGrid w:val="0"/>
        <w:spacing w:line="600" w:lineRule="exact"/>
        <w:ind w:firstLineChars="200" w:firstLine="60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973DFD">
        <w:rPr>
          <w:rFonts w:ascii="仿宋_GB2312" w:eastAsia="仿宋_GB2312" w:hAnsi="仿宋_GB2312" w:cs="仿宋_GB2312" w:hint="eastAsia"/>
          <w:sz w:val="30"/>
          <w:szCs w:val="30"/>
        </w:rPr>
        <w:t>第</w:t>
      </w: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期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 w:rsidRPr="00AE3D5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成都市  2018年6月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22</w:t>
      </w:r>
      <w:r w:rsidRPr="00AE3D5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日至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25</w:t>
      </w:r>
      <w:r w:rsidRPr="00AE3D5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日（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22</w:t>
      </w:r>
      <w:r w:rsidRPr="00AE3D5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日报到）</w:t>
      </w:r>
    </w:p>
    <w:p w:rsidR="00BD1EDA" w:rsidRPr="00AE3D5F" w:rsidRDefault="00BD1EDA" w:rsidP="00BD1EDA">
      <w:pPr>
        <w:adjustRightInd w:val="0"/>
        <w:snapToGrid w:val="0"/>
        <w:spacing w:line="600" w:lineRule="exact"/>
        <w:ind w:firstLineChars="200" w:firstLine="60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973DFD">
        <w:rPr>
          <w:rFonts w:ascii="仿宋_GB2312" w:eastAsia="仿宋_GB2312" w:hAnsi="仿宋_GB2312" w:cs="仿宋_GB2312" w:hint="eastAsia"/>
          <w:sz w:val="30"/>
          <w:szCs w:val="30"/>
        </w:rPr>
        <w:t>第</w:t>
      </w: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期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大连</w:t>
      </w:r>
      <w:r w:rsidRPr="00AE3D5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市  2018年8月17日至20日（17日报到）</w:t>
      </w:r>
    </w:p>
    <w:p w:rsidR="00BD1EDA" w:rsidRPr="00AE3D5F" w:rsidRDefault="00BD1EDA" w:rsidP="00BD1EDA">
      <w:pPr>
        <w:adjustRightInd w:val="0"/>
        <w:snapToGrid w:val="0"/>
        <w:spacing w:line="600" w:lineRule="exact"/>
        <w:ind w:firstLineChars="200" w:firstLine="60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973DFD">
        <w:rPr>
          <w:rFonts w:ascii="仿宋_GB2312" w:eastAsia="仿宋_GB2312" w:hAnsi="仿宋_GB2312" w:cs="仿宋_GB2312" w:hint="eastAsia"/>
          <w:sz w:val="30"/>
          <w:szCs w:val="30"/>
        </w:rPr>
        <w:t>第</w:t>
      </w: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期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 w:rsidRPr="00AE3D5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北京市  2018年10月12日至15日（12日报到）</w:t>
      </w:r>
    </w:p>
    <w:p w:rsidR="00BD1EDA" w:rsidRPr="00AE3D5F" w:rsidRDefault="00BD1EDA" w:rsidP="00BD1EDA">
      <w:pPr>
        <w:adjustRightInd w:val="0"/>
        <w:snapToGrid w:val="0"/>
        <w:spacing w:line="600" w:lineRule="exact"/>
        <w:ind w:firstLineChars="200" w:firstLine="60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973DFD">
        <w:rPr>
          <w:rFonts w:ascii="仿宋_GB2312" w:eastAsia="仿宋_GB2312" w:hAnsi="仿宋_GB2312" w:cs="仿宋_GB2312" w:hint="eastAsia"/>
          <w:sz w:val="30"/>
          <w:szCs w:val="30"/>
        </w:rPr>
        <w:t>第</w:t>
      </w: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期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 w:rsidRPr="00AE3D5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南宁市  2018年12月14日至17日（14日报到）</w:t>
      </w:r>
    </w:p>
    <w:p w:rsidR="00BD1EDA" w:rsidRDefault="00BD1EDA" w:rsidP="00BD1EDA">
      <w:pPr>
        <w:adjustRightInd w:val="0"/>
        <w:snapToGrid w:val="0"/>
        <w:spacing w:line="600" w:lineRule="exact"/>
        <w:ind w:firstLineChars="200" w:firstLine="602"/>
        <w:jc w:val="both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二、培训研讨主题</w:t>
      </w:r>
    </w:p>
    <w:p w:rsidR="00BD1EDA" w:rsidRDefault="00BD1EDA" w:rsidP="00BD1EDA">
      <w:pPr>
        <w:adjustRightInd w:val="0"/>
        <w:snapToGrid w:val="0"/>
        <w:spacing w:line="560" w:lineRule="exact"/>
        <w:ind w:firstLineChars="200" w:firstLine="602"/>
        <w:jc w:val="both"/>
        <w:rPr>
          <w:rFonts w:ascii="仿宋_GB2312" w:eastAsia="仿宋_GB2312" w:hAnsi="仿宋_GB2312" w:cs="仿宋_GB2312" w:hint="eastAsia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模块</w:t>
      </w:r>
      <w:proofErr w:type="gramStart"/>
      <w:r>
        <w:rPr>
          <w:rFonts w:ascii="仿宋_GB2312" w:eastAsia="仿宋_GB2312" w:hAnsi="仿宋_GB2312" w:cs="仿宋_GB2312" w:hint="eastAsia"/>
          <w:b/>
          <w:sz w:val="30"/>
          <w:szCs w:val="30"/>
        </w:rPr>
        <w:t>一</w:t>
      </w:r>
      <w:proofErr w:type="gramEnd"/>
      <w:r>
        <w:rPr>
          <w:rFonts w:ascii="仿宋_GB2312" w:eastAsia="仿宋_GB2312" w:hAnsi="仿宋_GB2312" w:cs="仿宋_GB2312" w:hint="eastAsia"/>
          <w:b/>
          <w:sz w:val="30"/>
          <w:szCs w:val="30"/>
        </w:rPr>
        <w:t>：医院财务会计改革最新政策解读</w:t>
      </w:r>
    </w:p>
    <w:p w:rsidR="00BD1EDA" w:rsidRDefault="00BD1EDA" w:rsidP="00BD1EDA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医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改政策与医疗事业改革发展趋势解读</w:t>
      </w:r>
    </w:p>
    <w:p w:rsidR="00BD1EDA" w:rsidRDefault="00BD1EDA" w:rsidP="00BD1EDA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会计改革与发展“十三五”规划纲要解读</w:t>
      </w:r>
    </w:p>
    <w:p w:rsidR="00BD1EDA" w:rsidRDefault="00BD1EDA" w:rsidP="00BD1EDA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政府会计改革对医院经济运营管理的影响</w:t>
      </w:r>
    </w:p>
    <w:p w:rsidR="00BD1EDA" w:rsidRDefault="00BD1EDA" w:rsidP="00BD1EDA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新医院财务制度与会计制度解读</w:t>
      </w:r>
    </w:p>
    <w:p w:rsidR="00BD1EDA" w:rsidRDefault="00BD1EDA" w:rsidP="00BD1EDA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医院经济运行分析典型案例</w:t>
      </w:r>
    </w:p>
    <w:p w:rsidR="00BD1EDA" w:rsidRDefault="00BD1EDA" w:rsidP="00BD1EDA">
      <w:pPr>
        <w:adjustRightInd w:val="0"/>
        <w:snapToGrid w:val="0"/>
        <w:spacing w:line="560" w:lineRule="exact"/>
        <w:ind w:firstLineChars="200" w:firstLine="602"/>
        <w:jc w:val="both"/>
        <w:rPr>
          <w:rFonts w:ascii="仿宋_GB2312" w:eastAsia="仿宋_GB2312" w:hAnsi="仿宋_GB2312" w:cs="仿宋_GB2312" w:hint="eastAsia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模块二：医院资产、负债与净资产管理实务</w:t>
      </w:r>
    </w:p>
    <w:p w:rsidR="00BD1EDA" w:rsidRDefault="00BD1EDA" w:rsidP="00BD1EDA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医院资产管理与核算</w:t>
      </w:r>
    </w:p>
    <w:p w:rsidR="00BD1EDA" w:rsidRDefault="00BD1EDA" w:rsidP="00BD1EDA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bCs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医院负债管理与核算</w:t>
      </w:r>
    </w:p>
    <w:p w:rsidR="00BD1EDA" w:rsidRDefault="00BD1EDA" w:rsidP="00BD1EDA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医院净资产管理与核算</w:t>
      </w:r>
    </w:p>
    <w:p w:rsidR="00BD1EDA" w:rsidRDefault="00BD1EDA" w:rsidP="00BD1EDA">
      <w:pPr>
        <w:adjustRightInd w:val="0"/>
        <w:snapToGrid w:val="0"/>
        <w:spacing w:line="560" w:lineRule="exact"/>
        <w:ind w:firstLineChars="200" w:firstLine="602"/>
        <w:jc w:val="both"/>
        <w:rPr>
          <w:rFonts w:ascii="仿宋_GB2312" w:eastAsia="仿宋_GB2312" w:hAnsi="仿宋_GB2312" w:cs="仿宋_GB2312" w:hint="eastAsia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lastRenderedPageBreak/>
        <w:t>模块三：医院收入管理最佳实践</w:t>
      </w:r>
    </w:p>
    <w:p w:rsidR="00BD1EDA" w:rsidRDefault="00BD1EDA" w:rsidP="00BD1EDA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医药价格改革应对典型实践</w:t>
      </w:r>
    </w:p>
    <w:p w:rsidR="00BD1EDA" w:rsidRDefault="00BD1EDA" w:rsidP="00BD1EDA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医疗收入管理与核算</w:t>
      </w:r>
    </w:p>
    <w:p w:rsidR="00BD1EDA" w:rsidRDefault="00BD1EDA" w:rsidP="00BD1EDA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财政补助收入管理与核算</w:t>
      </w:r>
    </w:p>
    <w:p w:rsidR="00BD1EDA" w:rsidRDefault="00BD1EDA" w:rsidP="00BD1EDA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科教项目收入管理与核算</w:t>
      </w:r>
    </w:p>
    <w:p w:rsidR="00BD1EDA" w:rsidRDefault="00BD1EDA" w:rsidP="00BD1EDA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其他收入管理与核算</w:t>
      </w:r>
    </w:p>
    <w:p w:rsidR="00BD1EDA" w:rsidRDefault="00BD1EDA" w:rsidP="00BD1EDA">
      <w:pPr>
        <w:adjustRightInd w:val="0"/>
        <w:snapToGrid w:val="0"/>
        <w:spacing w:line="560" w:lineRule="exact"/>
        <w:ind w:firstLineChars="200" w:firstLine="602"/>
        <w:jc w:val="both"/>
        <w:rPr>
          <w:rFonts w:ascii="仿宋_GB2312" w:eastAsia="仿宋_GB2312" w:hAnsi="仿宋_GB2312" w:cs="仿宋_GB2312" w:hint="eastAsia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模块四：医院成本管理最佳实践</w:t>
      </w:r>
    </w:p>
    <w:p w:rsidR="00BD1EDA" w:rsidRDefault="00BD1EDA" w:rsidP="00BD1EDA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bCs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价格及支付方式改革应对典型实践</w:t>
      </w:r>
    </w:p>
    <w:p w:rsidR="00BD1EDA" w:rsidRDefault="00BD1EDA" w:rsidP="00BD1EDA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bCs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药占比、材料占比、百元医疗收入材料运营成本管控</w:t>
      </w:r>
    </w:p>
    <w:p w:rsidR="00BD1EDA" w:rsidRDefault="00BD1EDA" w:rsidP="00BD1EDA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bCs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科室成本控制方法及应用</w:t>
      </w:r>
    </w:p>
    <w:p w:rsidR="00BD1EDA" w:rsidRDefault="00BD1EDA" w:rsidP="00BD1EDA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bCs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医院成本归集与分摊</w:t>
      </w:r>
    </w:p>
    <w:p w:rsidR="00BD1EDA" w:rsidRDefault="00BD1EDA" w:rsidP="00BD1EDA">
      <w:pPr>
        <w:adjustRightInd w:val="0"/>
        <w:snapToGrid w:val="0"/>
        <w:spacing w:line="560" w:lineRule="exact"/>
        <w:ind w:firstLineChars="200" w:firstLine="602"/>
        <w:jc w:val="both"/>
        <w:rPr>
          <w:rFonts w:ascii="仿宋_GB2312" w:eastAsia="仿宋_GB2312" w:hAnsi="仿宋_GB2312" w:cs="仿宋_GB2312" w:hint="eastAsia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模块五：医院绩效管理最佳实践</w:t>
      </w:r>
    </w:p>
    <w:p w:rsidR="00BD1EDA" w:rsidRDefault="00BD1EDA" w:rsidP="00BD1EDA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bCs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医疗服务价格改革后绩效考核调整应对</w:t>
      </w:r>
    </w:p>
    <w:p w:rsidR="00BD1EDA" w:rsidRDefault="00BD1EDA" w:rsidP="00BD1EDA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bCs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医院津补贴的“红线和底线”与绩效方案规范化设计</w:t>
      </w:r>
    </w:p>
    <w:p w:rsidR="00BD1EDA" w:rsidRDefault="00BD1EDA" w:rsidP="00BD1EDA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bCs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医院绩效考核结果与应用</w:t>
      </w:r>
    </w:p>
    <w:p w:rsidR="00BD1EDA" w:rsidRDefault="00BD1EDA" w:rsidP="00BD1EDA">
      <w:pPr>
        <w:adjustRightInd w:val="0"/>
        <w:snapToGrid w:val="0"/>
        <w:spacing w:line="560" w:lineRule="exact"/>
        <w:ind w:firstLineChars="200" w:firstLine="602"/>
        <w:jc w:val="both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模块六：医院内部控制与财务风险防范最佳实践</w:t>
      </w:r>
    </w:p>
    <w:p w:rsidR="00BD1EDA" w:rsidRDefault="00BD1EDA" w:rsidP="00BD1EDA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bCs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医院经济活动控制的内外部环境分析与风险识别</w:t>
      </w:r>
    </w:p>
    <w:p w:rsidR="00BD1EDA" w:rsidRDefault="00BD1EDA" w:rsidP="00BD1EDA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bCs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医院具体业务流程层面内部控制要点</w:t>
      </w:r>
    </w:p>
    <w:p w:rsidR="00BD1EDA" w:rsidRDefault="00BD1EDA" w:rsidP="00BD1EDA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bCs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财务风险预警、防范与化解</w:t>
      </w:r>
    </w:p>
    <w:p w:rsidR="00BD1EDA" w:rsidRDefault="00BD1EDA" w:rsidP="00BD1EDA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bCs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审计监督视角下的财务内控</w:t>
      </w:r>
    </w:p>
    <w:p w:rsidR="00BD1EDA" w:rsidRDefault="00BD1EDA" w:rsidP="00BD1EDA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bCs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税收风险内部控制</w:t>
      </w:r>
    </w:p>
    <w:p w:rsidR="00BD1EDA" w:rsidRDefault="00BD1EDA" w:rsidP="00BD1EDA">
      <w:pPr>
        <w:spacing w:line="560" w:lineRule="exact"/>
        <w:ind w:firstLineChars="200" w:firstLine="602"/>
        <w:rPr>
          <w:rFonts w:ascii="仿宋_GB2312" w:eastAsia="仿宋_GB2312" w:hAnsi="宋体" w:cs="宋体" w:hint="eastAsia"/>
          <w:b/>
          <w:bCs/>
          <w:color w:val="000000"/>
          <w:sz w:val="30"/>
          <w:szCs w:val="30"/>
        </w:rPr>
      </w:pPr>
      <w:r>
        <w:rPr>
          <w:rFonts w:ascii="仿宋_GB2312" w:eastAsia="仿宋_GB2312" w:hAnsi="宋体" w:cs="宋体" w:hint="eastAsia"/>
          <w:b/>
          <w:bCs/>
          <w:color w:val="000000"/>
          <w:sz w:val="30"/>
          <w:szCs w:val="30"/>
        </w:rPr>
        <w:t>模块七：医院财会卓越领导力专题</w:t>
      </w:r>
    </w:p>
    <w:p w:rsidR="00BD1EDA" w:rsidRDefault="00BD1EDA" w:rsidP="00BD1EDA">
      <w:pPr>
        <w:spacing w:line="560" w:lineRule="exact"/>
        <w:ind w:firstLineChars="200" w:firstLine="600"/>
        <w:rPr>
          <w:rFonts w:ascii="仿宋_GB2312" w:eastAsia="仿宋_GB2312" w:hAnsi="宋体" w:cs="宋体" w:hint="eastAsia"/>
          <w:color w:val="000000"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 xml:space="preserve"> 医院财会领导力全方位提升</w:t>
      </w:r>
    </w:p>
    <w:p w:rsidR="00BD1EDA" w:rsidRDefault="00BD1EDA" w:rsidP="00BD1EDA">
      <w:pPr>
        <w:spacing w:line="560" w:lineRule="exact"/>
        <w:ind w:firstLineChars="200" w:firstLine="600"/>
        <w:rPr>
          <w:rFonts w:ascii="仿宋_GB2312" w:eastAsia="仿宋_GB2312" w:hAnsi="宋体" w:cs="宋体" w:hint="eastAsia"/>
          <w:color w:val="000000"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 xml:space="preserve"> 医院财会领导力发展——创新思维</w:t>
      </w:r>
    </w:p>
    <w:p w:rsidR="00BD1EDA" w:rsidRDefault="00BD1EDA" w:rsidP="00BD1EDA">
      <w:pPr>
        <w:spacing w:line="560" w:lineRule="exact"/>
        <w:ind w:firstLineChars="200" w:firstLine="602"/>
        <w:rPr>
          <w:rFonts w:ascii="仿宋_GB2312" w:eastAsia="仿宋_GB2312" w:hAnsi="宋体" w:cs="宋体" w:hint="eastAsia"/>
          <w:b/>
          <w:bCs/>
          <w:color w:val="000000"/>
          <w:sz w:val="30"/>
          <w:szCs w:val="30"/>
        </w:rPr>
      </w:pPr>
      <w:r>
        <w:rPr>
          <w:rFonts w:ascii="仿宋_GB2312" w:eastAsia="仿宋_GB2312" w:hAnsi="宋体" w:cs="宋体" w:hint="eastAsia"/>
          <w:b/>
          <w:bCs/>
          <w:color w:val="000000"/>
          <w:sz w:val="30"/>
          <w:szCs w:val="30"/>
        </w:rPr>
        <w:lastRenderedPageBreak/>
        <w:t>模块八：业务交流</w:t>
      </w:r>
    </w:p>
    <w:p w:rsidR="00BD1EDA" w:rsidRDefault="00BD1EDA" w:rsidP="00BD1EDA">
      <w:pPr>
        <w:spacing w:line="560" w:lineRule="exact"/>
        <w:ind w:firstLineChars="200" w:firstLine="600"/>
        <w:rPr>
          <w:rFonts w:ascii="仿宋_GB2312" w:eastAsia="仿宋_GB2312" w:hAnsi="宋体" w:cs="宋体" w:hint="eastAsia"/>
          <w:color w:val="000000"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 xml:space="preserve"> 从业经验交流</w:t>
      </w:r>
    </w:p>
    <w:p w:rsidR="00BD1EDA" w:rsidRDefault="00BD1EDA" w:rsidP="00BD1EDA">
      <w:pPr>
        <w:spacing w:line="560" w:lineRule="exact"/>
        <w:ind w:firstLineChars="200" w:firstLine="600"/>
        <w:rPr>
          <w:rFonts w:ascii="仿宋_GB2312" w:eastAsia="仿宋_GB2312" w:hAnsi="宋体" w:cs="宋体" w:hint="eastAsia"/>
          <w:color w:val="000000"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 xml:space="preserve"> 专家及与会代表现场点评</w:t>
      </w:r>
    </w:p>
    <w:p w:rsidR="00BD1EDA" w:rsidRDefault="00BD1EDA" w:rsidP="00BD1EDA">
      <w:pPr>
        <w:spacing w:line="60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四、参加对象</w:t>
      </w:r>
    </w:p>
    <w:p w:rsidR="00BD1EDA" w:rsidRDefault="00BD1EDA" w:rsidP="00BD1EDA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1、</w:t>
      </w:r>
      <w:r>
        <w:rPr>
          <w:rFonts w:ascii="仿宋_GB2312" w:eastAsia="仿宋_GB2312" w:hint="eastAsia"/>
          <w:sz w:val="30"/>
          <w:szCs w:val="30"/>
        </w:rPr>
        <w:t>各卫计委(局)分管领导，财务处(科)处长，业务骨干；</w:t>
      </w:r>
    </w:p>
    <w:p w:rsidR="00BD1EDA" w:rsidRDefault="00BD1EDA" w:rsidP="00BD1EDA">
      <w:pPr>
        <w:spacing w:line="600" w:lineRule="exact"/>
        <w:ind w:firstLineChars="199" w:firstLine="597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2、各综合医院、专科医院、教学医院院长，总会计师，财务会计高级管理人员和业务骨干。</w:t>
      </w:r>
    </w:p>
    <w:p w:rsidR="00BD1EDA" w:rsidRDefault="00BD1EDA" w:rsidP="00BD1EDA">
      <w:pPr>
        <w:spacing w:line="600" w:lineRule="exact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五、培训证书</w:t>
      </w:r>
    </w:p>
    <w:p w:rsidR="00BD1EDA" w:rsidRDefault="00BD1EDA" w:rsidP="00BD1EDA">
      <w:pPr>
        <w:spacing w:line="600" w:lineRule="exact"/>
        <w:ind w:leftChars="248" w:left="646" w:hangingChars="50" w:hanging="150"/>
        <w:jc w:val="both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培训班学习期满，颁发中国总会计师协会《培训结业证书》。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六、报名程序</w:t>
      </w:r>
    </w:p>
    <w:p w:rsidR="00BD1EDA" w:rsidRDefault="00BD1EDA" w:rsidP="00BD1EDA">
      <w:pPr>
        <w:spacing w:line="600" w:lineRule="exact"/>
        <w:jc w:val="both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1、培训班相关信息和报名表格请见中国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shd w:val="clear" w:color="auto" w:fill="FFFFFF"/>
        </w:rPr>
        <w:t>总会计师协会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网站（http://www.cacfo.com/）培训工作专栏</w:t>
      </w:r>
      <w:r>
        <w:rPr>
          <w:rFonts w:ascii="仿宋_GB2312" w:eastAsia="仿宋_GB2312" w:hAnsi="仿宋_GB2312" w:cs="仿宋_GB2312" w:hint="eastAsia"/>
          <w:color w:val="121212"/>
          <w:sz w:val="30"/>
          <w:szCs w:val="30"/>
        </w:rPr>
        <w:t>；</w:t>
      </w:r>
    </w:p>
    <w:p w:rsidR="00BD1EDA" w:rsidRDefault="00BD1EDA" w:rsidP="00BD1EDA">
      <w:pPr>
        <w:numPr>
          <w:ilvl w:val="0"/>
          <w:numId w:val="1"/>
        </w:numPr>
        <w:spacing w:line="600" w:lineRule="exact"/>
        <w:ind w:firstLineChars="200" w:firstLine="60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请各单位组织报名，填写回执，加盖公章，务必于培训班开始前一周传真至会务组。</w:t>
      </w:r>
    </w:p>
    <w:p w:rsidR="00BD1EDA" w:rsidRDefault="00BD1EDA" w:rsidP="00BD1EDA">
      <w:pPr>
        <w:spacing w:line="600" w:lineRule="exact"/>
        <w:ind w:firstLineChars="200" w:firstLine="602"/>
        <w:rPr>
          <w:rFonts w:ascii="仿宋_GB2312" w:eastAsia="仿宋_GB2312" w:hAnsi="仿宋_GB2312" w:cs="仿宋_GB2312"/>
          <w:b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七、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费用标准</w:t>
      </w:r>
    </w:p>
    <w:p w:rsidR="00BD1EDA" w:rsidRPr="0031143D" w:rsidRDefault="00BD1EDA" w:rsidP="00BD1EDA">
      <w:pPr>
        <w:spacing w:line="560" w:lineRule="exact"/>
        <w:ind w:firstLineChars="200" w:firstLine="600"/>
        <w:rPr>
          <w:rFonts w:ascii="仿宋_GB2312" w:eastAsia="仿宋_GB2312" w:hAnsi="仿宋_GB2312" w:cs="仿宋_GB2312"/>
          <w:color w:val="000000"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培训费2200元/人</w:t>
      </w:r>
      <w:r w:rsidRPr="0031143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食宿统一安排，费用自理；往返交通及费用由参会单位或个人自行办理。报名人员可在培训班开始前一周将费用汇至委托承办单位账户，并将银行汇款凭证传真至会务组，以便开具增值税专用发票。收款单位户名：北京长训教育科技有限公司；开户银行：中国工商银行股份有限公司北京科技园支行；账号：</w:t>
      </w:r>
      <w:r w:rsidRPr="0031143D">
        <w:rPr>
          <w:rFonts w:ascii="仿宋_GB2312" w:eastAsia="仿宋_GB2312" w:hAnsi="仿宋_GB2312" w:cs="仿宋_GB2312"/>
          <w:color w:val="000000"/>
          <w:sz w:val="30"/>
          <w:szCs w:val="30"/>
        </w:rPr>
        <w:t>0200 2964 0920 0239 547</w:t>
      </w:r>
      <w:r w:rsidRPr="0031143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。培训班也接受现场缴费。</w:t>
      </w:r>
    </w:p>
    <w:p w:rsidR="00BD1EDA" w:rsidRDefault="00BD1EDA" w:rsidP="00BD1EDA">
      <w:pPr>
        <w:spacing w:line="56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八、会务组联系方式</w:t>
      </w:r>
    </w:p>
    <w:p w:rsidR="00BD1EDA" w:rsidRPr="0031143D" w:rsidRDefault="00BD1EDA" w:rsidP="00BD1EDA">
      <w:pPr>
        <w:widowControl w:val="0"/>
        <w:ind w:firstLineChars="150" w:firstLine="45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31143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咨询电话：010-52262775   52262788</w:t>
      </w:r>
    </w:p>
    <w:p w:rsidR="00BD1EDA" w:rsidRPr="0031143D" w:rsidRDefault="00BD1EDA" w:rsidP="00BD1EDA">
      <w:pPr>
        <w:widowControl w:val="0"/>
        <w:ind w:firstLineChars="150" w:firstLine="45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31143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lastRenderedPageBreak/>
        <w:t>13911137571（</w:t>
      </w:r>
      <w:proofErr w:type="gramStart"/>
      <w:r w:rsidRPr="0031143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微信同</w:t>
      </w:r>
      <w:proofErr w:type="gramEnd"/>
      <w:r w:rsidRPr="0031143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号）  88191832（</w:t>
      </w:r>
      <w:proofErr w:type="gramStart"/>
      <w:r w:rsidRPr="0031143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中总协培训部</w:t>
      </w:r>
      <w:proofErr w:type="gramEnd"/>
      <w:r w:rsidRPr="0031143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）</w:t>
      </w:r>
    </w:p>
    <w:p w:rsidR="00BD1EDA" w:rsidRPr="0031143D" w:rsidRDefault="00BD1EDA" w:rsidP="00BD1EDA">
      <w:pPr>
        <w:widowControl w:val="0"/>
        <w:ind w:firstLineChars="150" w:firstLine="45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31143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报名传真：010-52262787   52262790</w:t>
      </w:r>
    </w:p>
    <w:p w:rsidR="00BD1EDA" w:rsidRPr="0031143D" w:rsidRDefault="00BD1EDA" w:rsidP="00BD1EDA">
      <w:pPr>
        <w:widowControl w:val="0"/>
        <w:ind w:firstLineChars="150" w:firstLine="45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31143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联 系 人：徐黎明  周正  孙东阳  </w:t>
      </w:r>
      <w:proofErr w:type="gramStart"/>
      <w:r w:rsidRPr="0031143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桑立强</w:t>
      </w:r>
      <w:proofErr w:type="gramEnd"/>
    </w:p>
    <w:p w:rsidR="00BD1EDA" w:rsidRPr="0031143D" w:rsidRDefault="00BD1EDA" w:rsidP="00BD1EDA">
      <w:pPr>
        <w:widowControl w:val="0"/>
        <w:ind w:firstLineChars="150" w:firstLine="45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31143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报名邮箱：3039056115@qq.com</w:t>
      </w:r>
    </w:p>
    <w:p w:rsidR="00ED1531" w:rsidRDefault="00ED1531">
      <w:bookmarkStart w:id="0" w:name="_GoBack"/>
      <w:bookmarkEnd w:id="0"/>
    </w:p>
    <w:sectPr w:rsidR="00ED1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B00F6"/>
    <w:multiLevelType w:val="singleLevel"/>
    <w:tmpl w:val="5A0B00F6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EDA"/>
    <w:rsid w:val="00145B32"/>
    <w:rsid w:val="00BD1EDA"/>
    <w:rsid w:val="00ED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D1B4B-E132-412D-846C-F8651191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1EDA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slq0517@sina.com</dc:creator>
  <cp:keywords/>
  <dc:description/>
  <cp:lastModifiedBy>slq0517@sina.com</cp:lastModifiedBy>
  <cp:revision>1</cp:revision>
  <dcterms:created xsi:type="dcterms:W3CDTF">2018-01-28T03:29:00Z</dcterms:created>
  <dcterms:modified xsi:type="dcterms:W3CDTF">2018-01-28T03:29:00Z</dcterms:modified>
</cp:coreProperties>
</file>