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EF" w:rsidRDefault="00C12DEF" w:rsidP="00C12DEF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C12DEF" w:rsidRDefault="00C12DEF" w:rsidP="00C12DEF">
      <w:pPr>
        <w:spacing w:line="600" w:lineRule="exact"/>
        <w:jc w:val="center"/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  <w:t>新《金融工具会计准则应用指南》专题培训班</w:t>
      </w:r>
    </w:p>
    <w:p w:rsidR="00C12DEF" w:rsidRDefault="00C12DEF" w:rsidP="00C12DEF"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pacing w:val="17"/>
          <w:sz w:val="36"/>
          <w:szCs w:val="36"/>
        </w:rPr>
        <w:t>工  作  方  案</w:t>
      </w:r>
    </w:p>
    <w:p w:rsidR="00C12DEF" w:rsidRDefault="00C12DEF" w:rsidP="00C12DEF">
      <w:pPr>
        <w:spacing w:line="600" w:lineRule="exact"/>
        <w:ind w:firstLineChars="200" w:firstLine="201"/>
        <w:jc w:val="both"/>
        <w:rPr>
          <w:rFonts w:ascii="宋体" w:hAnsi="宋体" w:cs="宋体"/>
          <w:b/>
          <w:bCs/>
          <w:color w:val="000000"/>
          <w:sz w:val="10"/>
          <w:szCs w:val="10"/>
        </w:rPr>
      </w:pPr>
    </w:p>
    <w:p w:rsidR="00C12DEF" w:rsidRDefault="00C12DEF" w:rsidP="00C12DEF">
      <w:pPr>
        <w:spacing w:line="6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主管主办单位：中国总会计师协会</w:t>
      </w:r>
    </w:p>
    <w:p w:rsidR="00C12DEF" w:rsidRDefault="00C12DEF" w:rsidP="00C12DEF">
      <w:pPr>
        <w:spacing w:line="60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委托承办单位：北京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长训教育科技有限公司</w:t>
      </w:r>
    </w:p>
    <w:p w:rsidR="00C12DEF" w:rsidRDefault="00C12DEF" w:rsidP="00C12DEF">
      <w:pPr>
        <w:spacing w:line="6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C12DEF" w:rsidRDefault="00C12DEF" w:rsidP="00C12DEF">
      <w:pPr>
        <w:spacing w:line="600" w:lineRule="exact"/>
        <w:ind w:left="596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shd w:val="clear" w:color="auto" w:fill="FFFFFF"/>
        </w:rPr>
        <w:t>一、地点及时间</w:t>
      </w:r>
    </w:p>
    <w:p w:rsidR="00C12DEF" w:rsidRDefault="00C12DEF" w:rsidP="00C12DE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第1期  上海市  2018年10月19日—21日（19日报到）</w:t>
      </w:r>
    </w:p>
    <w:p w:rsidR="00C12DEF" w:rsidRDefault="00C12DEF" w:rsidP="00C12DE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第2期  成都市  2018年11月16日—18日（16日报到）</w:t>
      </w:r>
    </w:p>
    <w:p w:rsidR="00C12DEF" w:rsidRDefault="00C12DEF" w:rsidP="00C12DEF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第3期  厦门市  2018年12月14日—16日（14日报到）</w:t>
      </w:r>
    </w:p>
    <w:p w:rsidR="00C12DEF" w:rsidRDefault="00C12DEF" w:rsidP="00C12DEF">
      <w:pPr>
        <w:adjustRightInd w:val="0"/>
        <w:snapToGrid w:val="0"/>
        <w:spacing w:line="60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培训课程</w:t>
      </w:r>
    </w:p>
    <w:p w:rsidR="00C12DEF" w:rsidRDefault="00C12DEF" w:rsidP="00C12DEF">
      <w:pPr>
        <w:adjustRightInd w:val="0"/>
        <w:snapToGrid w:val="0"/>
        <w:spacing w:line="60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spacing w:val="-6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模块</w:t>
      </w:r>
      <w:r>
        <w:rPr>
          <w:rFonts w:ascii="仿宋_GB2312" w:eastAsia="仿宋_GB2312" w:hAnsi="仿宋_GB2312" w:cs="仿宋_GB2312" w:hint="eastAsia"/>
          <w:b/>
          <w:spacing w:val="-6"/>
          <w:sz w:val="30"/>
          <w:szCs w:val="30"/>
        </w:rPr>
        <w:t>一：新金融工具会计准则应用指南出台背景及其重大意义</w:t>
      </w:r>
    </w:p>
    <w:p w:rsidR="00C12DEF" w:rsidRDefault="00C12DEF" w:rsidP="00C12DEF">
      <w:pPr>
        <w:adjustRightInd w:val="0"/>
        <w:snapToGrid w:val="0"/>
        <w:spacing w:line="600" w:lineRule="exact"/>
        <w:ind w:firstLineChars="200" w:firstLine="578"/>
        <w:jc w:val="both"/>
        <w:rPr>
          <w:rFonts w:ascii="仿宋_GB2312" w:eastAsia="仿宋_GB2312" w:hAnsi="仿宋_GB2312" w:cs="仿宋_GB2312" w:hint="eastAsia"/>
          <w:b/>
          <w:spacing w:val="-6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pacing w:val="-6"/>
          <w:sz w:val="30"/>
          <w:szCs w:val="30"/>
        </w:rPr>
        <w:t>模块二</w:t>
      </w:r>
      <w:bookmarkStart w:id="0" w:name="_Hlk510337484"/>
      <w:r>
        <w:rPr>
          <w:rFonts w:ascii="仿宋_GB2312" w:eastAsia="仿宋_GB2312" w:hAnsi="仿宋_GB2312" w:cs="仿宋_GB2312" w:hint="eastAsia"/>
          <w:b/>
          <w:spacing w:val="-6"/>
          <w:sz w:val="30"/>
          <w:szCs w:val="30"/>
        </w:rPr>
        <w:t>：</w:t>
      </w:r>
      <w:bookmarkEnd w:id="0"/>
      <w:r>
        <w:rPr>
          <w:rFonts w:ascii="仿宋_GB2312" w:eastAsia="仿宋_GB2312" w:hAnsi="仿宋_GB2312" w:cs="仿宋_GB2312" w:hint="eastAsia"/>
          <w:b/>
          <w:spacing w:val="-6"/>
          <w:sz w:val="30"/>
          <w:szCs w:val="30"/>
        </w:rPr>
        <w:t>新金融工具会计准则应用指南解读</w:t>
      </w:r>
    </w:p>
    <w:p w:rsidR="00C12DEF" w:rsidRDefault="00C12DEF" w:rsidP="00C12DEF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MS Gothic" w:hAnsi="MS Gothic" w:cs="MS Gothic" w:hint="eastAsia"/>
          <w:sz w:val="30"/>
          <w:szCs w:val="30"/>
        </w:rPr>
        <w:t>▪</w:t>
      </w:r>
      <w:r>
        <w:rPr>
          <w:rFonts w:ascii="仿宋_GB2312" w:eastAsia="MS Gothic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《企业会计准则第22号—金融工具确认和计量》应用指南解读</w:t>
      </w:r>
    </w:p>
    <w:p w:rsidR="00C12DEF" w:rsidRDefault="00C12DEF" w:rsidP="00C12DEF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MS Gothic" w:hAnsi="MS Gothic" w:cs="MS Gothic" w:hint="eastAsia"/>
          <w:sz w:val="30"/>
          <w:szCs w:val="30"/>
        </w:rPr>
        <w:t>▪</w:t>
      </w:r>
      <w:r>
        <w:rPr>
          <w:rFonts w:ascii="仿宋_GB2312" w:eastAsia="MS Gothic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《企业会计准则第23号—金融资产转移》应用指南解读</w:t>
      </w:r>
    </w:p>
    <w:p w:rsidR="00C12DEF" w:rsidRDefault="00C12DEF" w:rsidP="00C12DEF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MS Gothic" w:hAnsi="MS Gothic" w:cs="MS Gothic" w:hint="eastAsia"/>
          <w:sz w:val="30"/>
          <w:szCs w:val="30"/>
        </w:rPr>
        <w:t>▪</w:t>
      </w:r>
      <w:r>
        <w:rPr>
          <w:rFonts w:ascii="仿宋_GB2312" w:eastAsia="MS Gothic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《企业会计准则第24号—套期会计》应用指南解读</w:t>
      </w:r>
    </w:p>
    <w:p w:rsidR="00C12DEF" w:rsidRDefault="00C12DEF" w:rsidP="00C12DEF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MS Gothic" w:hAnsi="MS Gothic" w:cs="MS Gothic" w:hint="eastAsia"/>
          <w:sz w:val="30"/>
          <w:szCs w:val="30"/>
        </w:rPr>
        <w:t>▪</w:t>
      </w:r>
      <w:r>
        <w:rPr>
          <w:rFonts w:ascii="仿宋_GB2312" w:eastAsia="MS Gothic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《企业会计准则第37号—金融工具列报》应用指南解读</w:t>
      </w:r>
    </w:p>
    <w:p w:rsidR="00C12DEF" w:rsidRDefault="00C12DEF" w:rsidP="00C12DEF">
      <w:pPr>
        <w:adjustRightInd w:val="0"/>
        <w:snapToGrid w:val="0"/>
        <w:spacing w:line="600" w:lineRule="exact"/>
        <w:ind w:firstLineChars="200" w:firstLine="578"/>
        <w:jc w:val="both"/>
        <w:rPr>
          <w:rFonts w:ascii="仿宋_GB2312" w:eastAsia="仿宋_GB2312" w:hAnsi="仿宋_GB2312" w:cs="仿宋_GB2312" w:hint="eastAsia"/>
          <w:b/>
          <w:spacing w:val="-6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pacing w:val="-6"/>
          <w:sz w:val="30"/>
          <w:szCs w:val="30"/>
        </w:rPr>
        <w:t>模块三：新金融工具会计准则及应用指南实务操作重难点解析</w:t>
      </w:r>
    </w:p>
    <w:p w:rsidR="00C12DEF" w:rsidRDefault="00C12DEF" w:rsidP="00C12DEF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MS Gothic" w:hAnsi="MS Gothic" w:cs="MS Gothic" w:hint="eastAsia"/>
          <w:sz w:val="30"/>
          <w:szCs w:val="30"/>
        </w:rPr>
        <w:t>▪</w:t>
      </w:r>
      <w:r>
        <w:rPr>
          <w:rFonts w:ascii="仿宋_GB2312" w:eastAsia="MS Gothic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实施新准则及应用指南对数据、模型和系统的影响</w:t>
      </w:r>
    </w:p>
    <w:p w:rsidR="00C12DEF" w:rsidRDefault="00C12DEF" w:rsidP="00C12DEF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MS Gothic" w:hAnsi="MS Gothic" w:cs="MS Gothic" w:hint="eastAsia"/>
          <w:sz w:val="30"/>
          <w:szCs w:val="30"/>
        </w:rPr>
        <w:t>▪</w:t>
      </w:r>
      <w:r>
        <w:rPr>
          <w:rFonts w:ascii="仿宋_GB2312" w:eastAsia="MS Gothic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如何运用新金融工具准则及应用指南编制财报</w:t>
      </w:r>
    </w:p>
    <w:p w:rsidR="00C12DEF" w:rsidRDefault="00C12DEF" w:rsidP="00C12DEF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MS Gothic" w:hAnsi="MS Gothic" w:cs="MS Gothic" w:hint="eastAsia"/>
          <w:sz w:val="30"/>
          <w:szCs w:val="30"/>
        </w:rPr>
        <w:t>▪</w:t>
      </w:r>
      <w:r>
        <w:rPr>
          <w:rFonts w:ascii="仿宋_GB2312" w:eastAsia="等线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重大会计政策及其选择</w:t>
      </w:r>
    </w:p>
    <w:p w:rsidR="00C12DEF" w:rsidRDefault="00C12DEF" w:rsidP="00C12DEF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MS Gothic" w:hAnsi="MS Gothic" w:cs="MS Gothic" w:hint="eastAsia"/>
          <w:sz w:val="30"/>
          <w:szCs w:val="30"/>
        </w:rPr>
        <w:lastRenderedPageBreak/>
        <w:t>▪</w:t>
      </w:r>
      <w:r>
        <w:rPr>
          <w:rFonts w:ascii="仿宋_GB2312" w:eastAsia="等线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相关衔接规定及影响</w:t>
      </w:r>
    </w:p>
    <w:p w:rsidR="00C12DEF" w:rsidRDefault="00C12DEF" w:rsidP="00C12DEF">
      <w:pPr>
        <w:adjustRightInd w:val="0"/>
        <w:snapToGrid w:val="0"/>
        <w:spacing w:line="60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MS Gothic" w:hAnsi="MS Gothic" w:cs="MS Gothic" w:hint="eastAsia"/>
          <w:sz w:val="30"/>
          <w:szCs w:val="30"/>
        </w:rPr>
        <w:t>▪</w:t>
      </w:r>
      <w:r>
        <w:rPr>
          <w:rFonts w:ascii="仿宋_GB2312" w:eastAsia="等线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新准则及应用指南执行过程中问题案例分析</w:t>
      </w:r>
    </w:p>
    <w:p w:rsidR="00C12DEF" w:rsidRDefault="00C12DEF" w:rsidP="00C12DEF">
      <w:pPr>
        <w:adjustRightInd w:val="0"/>
        <w:snapToGrid w:val="0"/>
        <w:spacing w:line="600" w:lineRule="exact"/>
        <w:ind w:firstLineChars="200" w:firstLine="602"/>
        <w:jc w:val="both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模块四：新金融工具会计准则及应用指南</w:t>
      </w:r>
      <w:r>
        <w:rPr>
          <w:rFonts w:ascii="仿宋_GB2312" w:eastAsia="仿宋_GB2312" w:hAnsi="仿宋_GB2312" w:cs="仿宋_GB2312" w:hint="eastAsia"/>
          <w:b/>
          <w:spacing w:val="-6"/>
          <w:sz w:val="30"/>
          <w:szCs w:val="30"/>
        </w:rPr>
        <w:t>下金融风险防范</w:t>
      </w:r>
    </w:p>
    <w:p w:rsidR="00C12DEF" w:rsidRDefault="00C12DEF" w:rsidP="00C12DEF">
      <w:pPr>
        <w:spacing w:line="620" w:lineRule="exact"/>
        <w:ind w:firstLineChars="200" w:firstLine="602"/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模块五：业务交流</w:t>
      </w:r>
    </w:p>
    <w:p w:rsidR="00C12DEF" w:rsidRDefault="00C12DEF" w:rsidP="00C12DEF">
      <w:pPr>
        <w:spacing w:line="62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>
        <w:rPr>
          <w:rFonts w:ascii="仿宋_GB2312" w:eastAsia="MS Gothic" w:hAnsi="MS Gothic" w:cs="MS Gothic" w:hint="eastAsia"/>
          <w:sz w:val="30"/>
          <w:szCs w:val="30"/>
        </w:rPr>
        <w:t>▪</w:t>
      </w:r>
      <w:r>
        <w:rPr>
          <w:rFonts w:ascii="仿宋_GB2312" w:eastAsia="MS Gothic" w:hAnsi="MS Gothic" w:cs="MS Gothic" w:hint="eastAsia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从业经验交流</w:t>
      </w:r>
    </w:p>
    <w:p w:rsidR="00C12DEF" w:rsidRDefault="00C12DEF" w:rsidP="00C12DEF">
      <w:pPr>
        <w:spacing w:line="620" w:lineRule="exact"/>
        <w:ind w:firstLineChars="200" w:firstLine="600"/>
        <w:rPr>
          <w:rFonts w:ascii="仿宋_GB2312" w:eastAsia="仿宋_GB2312" w:hAnsi="宋体" w:cs="宋体" w:hint="eastAsia"/>
          <w:color w:val="000000"/>
          <w:sz w:val="30"/>
          <w:szCs w:val="30"/>
        </w:rPr>
      </w:pPr>
      <w:r>
        <w:rPr>
          <w:rFonts w:ascii="仿宋_GB2312" w:eastAsia="MS Gothic" w:hAnsi="MS Gothic" w:cs="MS Gothic" w:hint="eastAsia"/>
          <w:sz w:val="30"/>
          <w:szCs w:val="30"/>
        </w:rPr>
        <w:t>▪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专家及与会代表现场点评</w:t>
      </w:r>
    </w:p>
    <w:p w:rsidR="00C12DEF" w:rsidRDefault="00C12DEF" w:rsidP="00C12DEF">
      <w:pPr>
        <w:spacing w:line="62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三、师资力量</w:t>
      </w:r>
    </w:p>
    <w:p w:rsidR="00C12DEF" w:rsidRDefault="00C12DEF" w:rsidP="00C12DEF">
      <w:pPr>
        <w:spacing w:line="620" w:lineRule="exact"/>
        <w:ind w:firstLineChars="200" w:firstLine="600"/>
        <w:jc w:val="both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财政部会计准则专家，跨国公司、上市公司中实战经验丰富的总会计师、首席财务官等，中国财政科学研究院、国家会计学院、财经高等院校，四大会计师事务所的权威专家和全国会计领军人才等。</w:t>
      </w:r>
    </w:p>
    <w:p w:rsidR="00C12DEF" w:rsidRDefault="00C12DEF" w:rsidP="00C12DEF">
      <w:pPr>
        <w:spacing w:line="62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四、参加对象</w:t>
      </w:r>
    </w:p>
    <w:p w:rsidR="00C12DEF" w:rsidRDefault="00C12DEF" w:rsidP="00C12DEF">
      <w:pPr>
        <w:spacing w:line="620" w:lineRule="exact"/>
        <w:ind w:firstLineChars="199" w:firstLine="597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1．各财政厅（局）会计处（科）处长及骨干人员;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</w:t>
      </w:r>
    </w:p>
    <w:p w:rsidR="00C12DEF" w:rsidRDefault="00C12DEF" w:rsidP="00C12DEF">
      <w:pPr>
        <w:spacing w:line="620" w:lineRule="exact"/>
        <w:ind w:firstLineChars="199" w:firstLine="597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2．各金融机构财务部、风控部和IT部门负责人及骨干人员；</w:t>
      </w:r>
    </w:p>
    <w:p w:rsidR="00C12DEF" w:rsidRDefault="00C12DEF" w:rsidP="00C12DEF">
      <w:pPr>
        <w:spacing w:line="620" w:lineRule="exact"/>
        <w:ind w:firstLineChars="199" w:firstLine="597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3．各上市公司、大中型企业财务总监（总会计师），会计主管及骨干人员；</w:t>
      </w:r>
    </w:p>
    <w:p w:rsidR="00C12DEF" w:rsidRDefault="00C12DEF" w:rsidP="00C12DEF">
      <w:pPr>
        <w:spacing w:line="620" w:lineRule="exact"/>
        <w:ind w:firstLineChars="199" w:firstLine="597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4．各高校会计学院骨干教师。</w:t>
      </w:r>
    </w:p>
    <w:p w:rsidR="00C12DEF" w:rsidRDefault="00C12DEF" w:rsidP="00C12DEF">
      <w:pPr>
        <w:spacing w:line="620" w:lineRule="exact"/>
        <w:ind w:firstLineChars="199" w:firstLine="599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五、培训证书</w:t>
      </w:r>
    </w:p>
    <w:p w:rsidR="00C12DEF" w:rsidRDefault="00C12DEF" w:rsidP="00C12DEF">
      <w:pPr>
        <w:spacing w:line="620" w:lineRule="exact"/>
        <w:ind w:leftChars="248" w:left="496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培训班学习期满，颁发中国总会计师协会《培训结业证书》。</w:t>
      </w:r>
    </w:p>
    <w:p w:rsidR="00C12DEF" w:rsidRDefault="00C12DEF" w:rsidP="00C12DEF">
      <w:pPr>
        <w:spacing w:line="620" w:lineRule="exact"/>
        <w:ind w:leftChars="248" w:left="496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六、报名程序</w:t>
      </w:r>
    </w:p>
    <w:p w:rsidR="00C12DEF" w:rsidRDefault="00C12DEF" w:rsidP="00C12DEF">
      <w:pPr>
        <w:spacing w:line="62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1、培训班相关信息和报名表格请见中国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总会计师协会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网站（http://www.cacfo.com/）培训工作专栏</w:t>
      </w:r>
      <w:r>
        <w:rPr>
          <w:rFonts w:ascii="仿宋_GB2312" w:eastAsia="仿宋_GB2312" w:hAnsi="仿宋_GB2312" w:cs="仿宋_GB2312" w:hint="eastAsia"/>
          <w:color w:val="121212"/>
          <w:sz w:val="30"/>
          <w:szCs w:val="30"/>
        </w:rPr>
        <w:t>；</w:t>
      </w:r>
    </w:p>
    <w:p w:rsidR="00C12DEF" w:rsidRDefault="00C12DEF" w:rsidP="00C12DEF">
      <w:pPr>
        <w:numPr>
          <w:ilvl w:val="0"/>
          <w:numId w:val="1"/>
        </w:numPr>
        <w:spacing w:line="62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请各单位组织报名，填写回执，加盖公章，务必于培训班开始前一周传真至会务组。</w:t>
      </w:r>
    </w:p>
    <w:p w:rsidR="00C12DEF" w:rsidRDefault="00C12DEF" w:rsidP="00C12DEF">
      <w:pPr>
        <w:spacing w:line="600" w:lineRule="exact"/>
        <w:ind w:firstLineChars="200" w:firstLine="602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七、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费用标准</w:t>
      </w:r>
    </w:p>
    <w:p w:rsidR="00C12DEF" w:rsidRDefault="00C12DEF" w:rsidP="00C12DEF">
      <w:pPr>
        <w:spacing w:line="560" w:lineRule="exact"/>
        <w:ind w:firstLineChars="200" w:firstLine="600"/>
        <w:rPr>
          <w:rFonts w:ascii="仿宋_GB2312" w:eastAsia="仿宋_GB2312" w:hAnsi="仿宋_GB2312" w:cs="仿宋_GB2312"/>
          <w:color w:val="000000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费2200元/人；食宿统一安排，费用自理；往返交通及费用由参会单位或个人自行办理。报名人员可在培训班开始前一周将费用汇至委托承办单位账户，并将银行汇款凭证传真至会务组，以便开具增值税专用发票。收款单位户名：北京长训教育科技有限公司；开户银行：中国工商银行股份有限公司北京科技园支行；账号：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0200 2964 0920 0239 547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。培训班也接受现场缴费。</w:t>
      </w:r>
    </w:p>
    <w:p w:rsidR="00C12DEF" w:rsidRDefault="00C12DEF" w:rsidP="00C12DEF">
      <w:pPr>
        <w:spacing w:line="6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八、会务组联系方式</w:t>
      </w:r>
    </w:p>
    <w:p w:rsidR="00C12DEF" w:rsidRDefault="00C12DEF" w:rsidP="00C12DEF">
      <w:pPr>
        <w:widowControl w:val="0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咨询电话：010-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52262775   52262788</w:t>
      </w:r>
    </w:p>
    <w:p w:rsidR="00C12DEF" w:rsidRDefault="00C12DEF" w:rsidP="00C12DEF">
      <w:pPr>
        <w:widowControl w:val="0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13911137571（微信同号）  88191832（中总协培训部）</w:t>
      </w:r>
    </w:p>
    <w:p w:rsidR="00C12DEF" w:rsidRDefault="00C12DEF" w:rsidP="00C12DEF">
      <w:pPr>
        <w:widowControl w:val="0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报名邮箱：3039056115@qq.com</w:t>
      </w:r>
    </w:p>
    <w:p w:rsidR="00C12DEF" w:rsidRDefault="00C12DEF" w:rsidP="00C12DEF">
      <w:pPr>
        <w:widowControl w:val="0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报名传真：010-52262787   52262790</w:t>
      </w:r>
    </w:p>
    <w:p w:rsidR="00C12DEF" w:rsidRDefault="00C12DEF" w:rsidP="00C12DEF">
      <w:pPr>
        <w:widowControl w:val="0"/>
        <w:ind w:firstLineChars="200" w:firstLine="60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 系 人：徐黎明  周正  谢祥龙  桑立强</w:t>
      </w:r>
    </w:p>
    <w:p w:rsidR="00BE7F89" w:rsidRDefault="00BE7F89"/>
    <w:sectPr w:rsidR="00BE7F89" w:rsidSect="00BE7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B00F6"/>
    <w:multiLevelType w:val="singleLevel"/>
    <w:tmpl w:val="5A0B00F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2DEF"/>
    <w:rsid w:val="00BE7F89"/>
    <w:rsid w:val="00C1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EF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2018-09-04T03:00:00Z</dcterms:created>
  <dcterms:modified xsi:type="dcterms:W3CDTF">2018-09-04T03:01:00Z</dcterms:modified>
</cp:coreProperties>
</file>