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hAnsiTheme="majorEastAsia" w:cstheme="minorEastAsia"/>
          <w:sz w:val="30"/>
          <w:szCs w:val="30"/>
        </w:rPr>
      </w:pPr>
      <w:bookmarkStart w:id="0" w:name="_GoBack"/>
      <w:bookmarkEnd w:id="0"/>
      <w:r>
        <w:rPr>
          <w:rFonts w:hint="eastAsia" w:ascii="仿宋_GB2312" w:eastAsia="仿宋_GB2312" w:hAnsiTheme="majorEastAsia" w:cstheme="minorEastAsia"/>
          <w:sz w:val="30"/>
          <w:szCs w:val="30"/>
        </w:rPr>
        <w:t>附件：</w:t>
      </w:r>
    </w:p>
    <w:p>
      <w:pPr>
        <w:jc w:val="center"/>
        <w:rPr>
          <w:rFonts w:hint="eastAsia" w:asciiTheme="minorEastAsia" w:hAnsiTheme="minorEastAsia" w:cstheme="majorEastAsia"/>
          <w:b/>
          <w:bCs/>
          <w:sz w:val="36"/>
          <w:szCs w:val="36"/>
        </w:rPr>
      </w:pPr>
    </w:p>
    <w:p>
      <w:pPr>
        <w:jc w:val="center"/>
        <w:rPr>
          <w:rFonts w:asciiTheme="minorEastAsia" w:hAnsiTheme="minorEastAsia" w:cstheme="majorEastAsia"/>
          <w:b/>
          <w:bCs/>
          <w:sz w:val="36"/>
          <w:szCs w:val="36"/>
        </w:rPr>
      </w:pPr>
      <w:r>
        <w:rPr>
          <w:rFonts w:hint="eastAsia" w:asciiTheme="minorEastAsia" w:hAnsiTheme="minorEastAsia" w:cstheme="majorEastAsia"/>
          <w:b/>
          <w:bCs/>
          <w:sz w:val="36"/>
          <w:szCs w:val="36"/>
        </w:rPr>
        <w:t>特级管理会计师</w:t>
      </w:r>
      <w:r>
        <w:rPr>
          <w:rFonts w:hint="eastAsia" w:asciiTheme="minorEastAsia" w:hAnsiTheme="minorEastAsia" w:cstheme="majorEastAsia"/>
          <w:b/>
          <w:bCs/>
          <w:color w:val="000000" w:themeColor="text1"/>
          <w:sz w:val="36"/>
          <w:szCs w:val="36"/>
        </w:rPr>
        <w:t>评审</w:t>
      </w:r>
      <w:r>
        <w:rPr>
          <w:rFonts w:hint="eastAsia" w:asciiTheme="minorEastAsia" w:hAnsiTheme="minorEastAsia" w:cstheme="majorEastAsia"/>
          <w:b/>
          <w:bCs/>
          <w:sz w:val="36"/>
          <w:szCs w:val="36"/>
        </w:rPr>
        <w:t>办法</w:t>
      </w:r>
    </w:p>
    <w:p>
      <w:pPr>
        <w:jc w:val="center"/>
        <w:rPr>
          <w:rFonts w:ascii="仿宋_GB2312" w:eastAsia="仿宋_GB2312" w:hAnsiTheme="majorEastAsia" w:cstheme="minorEastAsia"/>
          <w:sz w:val="36"/>
          <w:szCs w:val="36"/>
        </w:rPr>
      </w:pPr>
      <w:r>
        <w:rPr>
          <w:rFonts w:hint="eastAsia" w:ascii="仿宋_GB2312" w:eastAsia="仿宋_GB2312" w:hAnsiTheme="majorEastAsia" w:cstheme="minorEastAsia"/>
          <w:sz w:val="36"/>
          <w:szCs w:val="36"/>
        </w:rPr>
        <w:t xml:space="preserve">                                                               </w:t>
      </w:r>
    </w:p>
    <w:p>
      <w:pPr>
        <w:jc w:val="center"/>
        <w:rPr>
          <w:rFonts w:ascii="仿宋_GB2312" w:eastAsia="仿宋_GB2312" w:hAnsiTheme="majorEastAsia" w:cstheme="minorEastAsia"/>
          <w:sz w:val="30"/>
          <w:szCs w:val="30"/>
        </w:rPr>
      </w:pPr>
      <w:r>
        <w:rPr>
          <w:rFonts w:hint="eastAsia" w:ascii="仿宋_GB2312" w:eastAsia="仿宋_GB2312" w:hAnsiTheme="majorEastAsia" w:cstheme="majorEastAsia"/>
          <w:bCs/>
          <w:sz w:val="30"/>
          <w:szCs w:val="30"/>
        </w:rPr>
        <w:t xml:space="preserve">  </w:t>
      </w:r>
      <w:r>
        <w:rPr>
          <w:rFonts w:hint="eastAsia" w:ascii="仿宋_GB2312" w:eastAsia="仿宋_GB2312" w:hAnsiTheme="majorEastAsia" w:cstheme="minorEastAsia"/>
          <w:b/>
          <w:bCs/>
          <w:sz w:val="30"/>
          <w:szCs w:val="30"/>
        </w:rPr>
        <w:t>第一章 总 则</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第一条</w:t>
      </w:r>
      <w:r>
        <w:rPr>
          <w:rFonts w:hint="eastAsia" w:ascii="仿宋_GB2312" w:eastAsia="仿宋_GB2312" w:hAnsiTheme="majorEastAsia" w:cstheme="minorEastAsia"/>
          <w:sz w:val="30"/>
          <w:szCs w:val="30"/>
        </w:rPr>
        <w:t xml:space="preserve"> 财政部《会计改革与发展“十三五”规划纲要》(以下简称“《规划》”)中提出：“加快推进管理会计人才培养，力争到2020年培养3万名精于理财、善于管理和决策的管理会计人才”。为积极落实《规划》中关于我国管理会计人才培养目标的要求，加快发展中国特色的管理会计，促进企事业单位提高管理水平和创新能力，中国总会计师协会（以下简称“中总协”）决定开展特级管理会计师评审工作。为保证客观、公正、准确地评出特级管理会计师，特制定本办法。</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第二条 </w:t>
      </w:r>
      <w:r>
        <w:rPr>
          <w:rFonts w:hint="eastAsia" w:ascii="仿宋_GB2312" w:eastAsia="仿宋_GB2312" w:hAnsiTheme="majorEastAsia" w:cstheme="minorEastAsia"/>
          <w:sz w:val="30"/>
          <w:szCs w:val="30"/>
        </w:rPr>
        <w:t>特级管理会计师是指精通现代管理会计理念、工具和方法，并将工具方法与所在单位业务深度融合，在预测、决策、控制、评价等管理活动中开展服务战略、支持决策、管理风险、创造价值等工作，并在管理领域中发挥特别突出作用的领军人才。</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第三条 </w:t>
      </w:r>
      <w:r>
        <w:rPr>
          <w:rFonts w:hint="eastAsia" w:ascii="仿宋_GB2312" w:eastAsia="仿宋_GB2312" w:hAnsiTheme="majorEastAsia" w:cstheme="minorEastAsia"/>
          <w:sz w:val="30"/>
          <w:szCs w:val="30"/>
        </w:rPr>
        <w:t>特级管理会计师由中总协成立的特级管理会计师评审委员会（以下简称“评委会”）评审产生。</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第四条 </w:t>
      </w:r>
      <w:r>
        <w:rPr>
          <w:rFonts w:hint="eastAsia" w:ascii="仿宋_GB2312" w:eastAsia="仿宋_GB2312" w:hAnsiTheme="majorEastAsia" w:cstheme="minorEastAsia"/>
          <w:sz w:val="30"/>
          <w:szCs w:val="30"/>
        </w:rPr>
        <w:t>特级管理会计师评审要充分考虑申请人所在单位的所有制类型、规模、地区和行业分布，以求在全国范围内评出中国管理会计师的领军人才，确保特级管理会计师队伍的覆盖面和代表性。</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第五条 </w:t>
      </w:r>
      <w:r>
        <w:rPr>
          <w:rFonts w:hint="eastAsia" w:ascii="仿宋_GB2312" w:eastAsia="仿宋_GB2312" w:hAnsiTheme="majorEastAsia" w:cstheme="minorEastAsia"/>
          <w:sz w:val="30"/>
          <w:szCs w:val="30"/>
        </w:rPr>
        <w:t>特级管理会计师评审工作原则上每年举办一次,每年评出人数一般在50位左右。</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第六条 </w:t>
      </w:r>
      <w:r>
        <w:rPr>
          <w:rFonts w:hint="eastAsia" w:ascii="仿宋_GB2312" w:eastAsia="仿宋_GB2312" w:hAnsiTheme="majorEastAsia" w:cstheme="minorEastAsia"/>
          <w:sz w:val="30"/>
          <w:szCs w:val="30"/>
        </w:rPr>
        <w:t>被评定为特级管理会计师的人员,可由中总协向有关部门和单位推荐，在管理和专业中发挥更大作用；可选聘为中总协管理会计特聘专家、中总协咨询委员会（或项目）专家，并有资格入选中总协特级管理会计师评委会，享受相应的权利和义务。</w:t>
      </w:r>
    </w:p>
    <w:p>
      <w:pPr>
        <w:ind w:firstLine="602" w:firstLineChars="200"/>
        <w:jc w:val="center"/>
        <w:rPr>
          <w:rFonts w:ascii="仿宋_GB2312" w:eastAsia="仿宋_GB2312" w:hAnsiTheme="majorEastAsia" w:cstheme="minorEastAsia"/>
          <w:b/>
          <w:sz w:val="30"/>
          <w:szCs w:val="30"/>
        </w:rPr>
      </w:pPr>
      <w:r>
        <w:rPr>
          <w:rFonts w:hint="eastAsia" w:ascii="仿宋_GB2312" w:eastAsia="仿宋_GB2312" w:hAnsiTheme="majorEastAsia" w:cstheme="minorEastAsia"/>
          <w:b/>
          <w:sz w:val="30"/>
          <w:szCs w:val="30"/>
        </w:rPr>
        <w:t>第二章  评审</w:t>
      </w:r>
      <w:r>
        <w:rPr>
          <w:rFonts w:hint="eastAsia" w:ascii="仿宋_GB2312" w:eastAsia="仿宋_GB2312" w:hAnsiTheme="majorEastAsia" w:cstheme="minorEastAsia"/>
          <w:b/>
          <w:bCs/>
          <w:sz w:val="30"/>
          <w:szCs w:val="30"/>
        </w:rPr>
        <w:t>机制</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第七条 </w:t>
      </w:r>
      <w:r>
        <w:rPr>
          <w:rFonts w:hint="eastAsia" w:ascii="仿宋_GB2312" w:eastAsia="仿宋_GB2312" w:hAnsiTheme="majorEastAsia" w:cstheme="minorEastAsia"/>
          <w:sz w:val="30"/>
          <w:szCs w:val="30"/>
        </w:rPr>
        <w:t>中总协成立特级管理会计师评委会，评委会成员在中总协成立的“管理会计百人专家库”中遴选产生，专家库由来自政府机关、行业组织、理论界和实务界的专家组成。评委会设总指导1人，主任1人，副主任1-2人，每届评委会专家人数不少于15人。</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第八条 </w:t>
      </w:r>
      <w:r>
        <w:rPr>
          <w:rFonts w:hint="eastAsia" w:ascii="仿宋_GB2312" w:eastAsia="仿宋_GB2312" w:hAnsiTheme="majorEastAsia" w:cstheme="minorEastAsia"/>
          <w:sz w:val="30"/>
          <w:szCs w:val="30"/>
        </w:rPr>
        <w:t>评委会负责对申请人的任职资历、水平能力、专业成果及工作业绩进行专业评定，确定申请人是否达到特级管理会计师的评定标准。</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第九条</w:t>
      </w:r>
      <w:r>
        <w:rPr>
          <w:rFonts w:hint="eastAsia" w:ascii="仿宋_GB2312" w:eastAsia="仿宋_GB2312" w:hAnsiTheme="majorEastAsia" w:cstheme="minorEastAsia"/>
          <w:sz w:val="30"/>
          <w:szCs w:val="30"/>
        </w:rPr>
        <w:t xml:space="preserve"> 评委会下设评审工作办公室，负责评委会的日常行政与管理工作。</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第十条 </w:t>
      </w:r>
      <w:r>
        <w:rPr>
          <w:rFonts w:hint="eastAsia" w:ascii="仿宋_GB2312" w:eastAsia="仿宋_GB2312" w:hAnsiTheme="majorEastAsia" w:cstheme="minorEastAsia"/>
          <w:sz w:val="30"/>
          <w:szCs w:val="30"/>
        </w:rPr>
        <w:t>评委会遵循“公开、公正、透明”的原则开展评审工作，严格掌握标准条件，保证评审质量。</w:t>
      </w:r>
    </w:p>
    <w:p>
      <w:pPr>
        <w:ind w:firstLine="602" w:firstLineChars="200"/>
        <w:jc w:val="center"/>
        <w:rPr>
          <w:rFonts w:ascii="仿宋_GB2312" w:eastAsia="仿宋_GB2312" w:hAnsiTheme="majorEastAsia" w:cstheme="minorEastAsia"/>
          <w:b/>
          <w:bCs/>
          <w:sz w:val="30"/>
          <w:szCs w:val="30"/>
        </w:rPr>
      </w:pPr>
      <w:r>
        <w:rPr>
          <w:rFonts w:hint="eastAsia" w:ascii="仿宋_GB2312" w:eastAsia="仿宋_GB2312" w:hAnsiTheme="majorEastAsia" w:cstheme="minorEastAsia"/>
          <w:b/>
          <w:bCs/>
          <w:sz w:val="30"/>
          <w:szCs w:val="30"/>
        </w:rPr>
        <w:t>第三章  评审程序</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评委会及评审工作办公室应按照以下程序开展评审工作：</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第十一条 推荐</w:t>
      </w:r>
      <w:r>
        <w:rPr>
          <w:rFonts w:hint="eastAsia" w:ascii="仿宋_GB2312" w:eastAsia="仿宋_GB2312" w:hAnsiTheme="majorEastAsia" w:cstheme="minorEastAsia"/>
          <w:sz w:val="30"/>
          <w:szCs w:val="30"/>
        </w:rPr>
        <w:t>。中总协所属各地方协会、分会、代表处可以积极推荐会员单位中符合条件的会员参评；中总协理事以上单位以及直属单位会员、个人会员中符合标准的人员可以自荐参评；非中总协会员须由中总协“管理会计百人专家库”中两名专家推荐参评。</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bCs/>
          <w:sz w:val="30"/>
          <w:szCs w:val="30"/>
        </w:rPr>
        <w:t>第十二条 资料</w:t>
      </w:r>
      <w:r>
        <w:rPr>
          <w:rFonts w:hint="eastAsia" w:ascii="仿宋_GB2312" w:eastAsia="仿宋_GB2312" w:hAnsiTheme="majorEastAsia" w:cstheme="minorEastAsia"/>
          <w:b/>
          <w:sz w:val="30"/>
          <w:szCs w:val="30"/>
        </w:rPr>
        <w:t>受理</w:t>
      </w:r>
      <w:r>
        <w:rPr>
          <w:rFonts w:hint="eastAsia" w:ascii="仿宋_GB2312" w:eastAsia="仿宋_GB2312" w:hAnsiTheme="majorEastAsia" w:cstheme="minorEastAsia"/>
          <w:sz w:val="30"/>
          <w:szCs w:val="30"/>
        </w:rPr>
        <w:t>。由评审工作办公室负责申请资料的受理以及完整性和真实性审核。评审工作办公室对不完整、填写不清楚的申请材料，应及时通知申请人在限定时间内补办。如发现弄虚作假行为，应取消申请人评定资格并不再受理申请。</w:t>
      </w:r>
    </w:p>
    <w:p>
      <w:pPr>
        <w:ind w:firstLine="602" w:firstLineChars="200"/>
        <w:rPr>
          <w:rFonts w:ascii="仿宋_GB2312" w:eastAsia="仿宋_GB2312" w:hAnsiTheme="majorEastAsia" w:cstheme="minorEastAsia"/>
          <w:bCs/>
          <w:sz w:val="30"/>
          <w:szCs w:val="30"/>
        </w:rPr>
      </w:pPr>
      <w:r>
        <w:rPr>
          <w:rFonts w:hint="eastAsia" w:ascii="仿宋_GB2312" w:eastAsia="仿宋_GB2312" w:hAnsiTheme="majorEastAsia" w:cstheme="minorEastAsia"/>
          <w:b/>
          <w:sz w:val="30"/>
          <w:szCs w:val="30"/>
        </w:rPr>
        <w:t xml:space="preserve">第十三条 </w:t>
      </w:r>
      <w:r>
        <w:rPr>
          <w:rFonts w:hint="eastAsia" w:ascii="仿宋_GB2312" w:eastAsia="仿宋_GB2312" w:hAnsiTheme="majorEastAsia" w:cstheme="minorEastAsia"/>
          <w:b/>
          <w:bCs/>
          <w:sz w:val="30"/>
          <w:szCs w:val="30"/>
        </w:rPr>
        <w:t>专家评审</w:t>
      </w:r>
      <w:r>
        <w:rPr>
          <w:rFonts w:hint="eastAsia" w:ascii="仿宋_GB2312" w:eastAsia="仿宋_GB2312" w:hAnsiTheme="majorEastAsia" w:cstheme="minorEastAsia"/>
          <w:bCs/>
          <w:sz w:val="30"/>
          <w:szCs w:val="30"/>
        </w:rPr>
        <w:t>。专家评审分为初评和复评两个阶段。</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bCs/>
          <w:sz w:val="30"/>
          <w:szCs w:val="30"/>
        </w:rPr>
        <w:t>初评。初评组专家不少于5人，负责对审核合格进入参评的申请人资料进行初评，确定进入复评的申请人名单。初评组专家</w:t>
      </w:r>
      <w:r>
        <w:rPr>
          <w:rFonts w:hint="eastAsia" w:ascii="仿宋_GB2312" w:eastAsia="仿宋_GB2312" w:hAnsiTheme="majorEastAsia" w:cstheme="minorEastAsia"/>
          <w:sz w:val="30"/>
          <w:szCs w:val="30"/>
        </w:rPr>
        <w:t>根据特级管理会计师的评定条件，对申请人提交的申评材料进行评分，平均分数在60分及以上的申请人进入复评阶段。</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复评。复评组专家负责对进入复评的申请人进行综合评定。复评组对进入复评的申请人提交的申评材料进行综合评议，由参加评审会议的评委会专家进行无记名投票表决，每位申请人赞成票数达到出席会议的评委会专家人数2/3通过有效。</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第十四条 公示</w:t>
      </w:r>
      <w:r>
        <w:rPr>
          <w:rFonts w:hint="eastAsia" w:ascii="仿宋_GB2312" w:eastAsia="仿宋_GB2312" w:hAnsiTheme="majorEastAsia" w:cstheme="minorEastAsia"/>
          <w:sz w:val="30"/>
          <w:szCs w:val="30"/>
        </w:rPr>
        <w:t xml:space="preserve">。经评委会审定通过的特级管理会计师名单，需在全国范围内向社会进行公示，公示期不少于10个工作日。公示期内,任何单位或个人对公布结果持有异议,可通过书面形式向评审工作办公室进行实名投诉。 </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第十五条 </w:t>
      </w:r>
      <w:r>
        <w:rPr>
          <w:rFonts w:hint="eastAsia" w:ascii="仿宋_GB2312" w:eastAsia="仿宋_GB2312" w:hAnsiTheme="majorEastAsia" w:cstheme="minorEastAsia"/>
          <w:sz w:val="30"/>
          <w:szCs w:val="30"/>
        </w:rPr>
        <w:t>颁发证书。经评审通过的人员名单，经公示无异议后，由中总协颁发《特级管理会计师》证书。</w:t>
      </w:r>
    </w:p>
    <w:p>
      <w:pPr>
        <w:jc w:val="center"/>
        <w:rPr>
          <w:rFonts w:ascii="仿宋_GB2312" w:eastAsia="仿宋_GB2312" w:hAnsiTheme="majorEastAsia" w:cstheme="minorEastAsia"/>
          <w:b/>
          <w:bCs/>
          <w:sz w:val="30"/>
          <w:szCs w:val="30"/>
        </w:rPr>
      </w:pPr>
      <w:r>
        <w:rPr>
          <w:rFonts w:hint="eastAsia" w:ascii="仿宋_GB2312" w:eastAsia="仿宋_GB2312" w:hAnsiTheme="majorEastAsia" w:cstheme="minorEastAsia"/>
          <w:b/>
          <w:bCs/>
          <w:sz w:val="30"/>
          <w:szCs w:val="30"/>
        </w:rPr>
        <w:t>第四章 申请条件</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申请人应具备以下条件：</w:t>
      </w:r>
    </w:p>
    <w:p>
      <w:pPr>
        <w:ind w:firstLine="602" w:firstLineChars="200"/>
        <w:rPr>
          <w:rFonts w:ascii="仿宋_GB2312" w:eastAsia="仿宋_GB2312" w:hAnsiTheme="majorEastAsia" w:cstheme="minorEastAsia"/>
          <w:b/>
          <w:sz w:val="30"/>
          <w:szCs w:val="30"/>
        </w:rPr>
      </w:pPr>
      <w:r>
        <w:rPr>
          <w:rFonts w:hint="eastAsia" w:ascii="仿宋_GB2312" w:eastAsia="仿宋_GB2312" w:hAnsiTheme="majorEastAsia" w:cstheme="minorEastAsia"/>
          <w:b/>
          <w:sz w:val="30"/>
          <w:szCs w:val="30"/>
        </w:rPr>
        <w:t>第十六条 基本条件</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1、遵守国家财经法律法规、规章制度，无违反财经法规与纪律的行为;</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2、具有较高的政治素质和政策水平，良好的社会诚信和职业道德；</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3、精通财经法规、监管政策、会计准则、税收法律法规。熟练掌握财务管理、预算管理、成本管理、资金管理、绩效管理等知识。</w:t>
      </w:r>
    </w:p>
    <w:p>
      <w:pPr>
        <w:ind w:firstLine="602" w:firstLineChars="200"/>
        <w:rPr>
          <w:rFonts w:ascii="仿宋_GB2312" w:eastAsia="仿宋_GB2312" w:hAnsiTheme="majorEastAsia" w:cstheme="minorEastAsia"/>
          <w:b/>
          <w:sz w:val="30"/>
          <w:szCs w:val="30"/>
        </w:rPr>
      </w:pPr>
      <w:r>
        <w:rPr>
          <w:rFonts w:hint="eastAsia" w:ascii="仿宋_GB2312" w:eastAsia="仿宋_GB2312" w:hAnsiTheme="majorEastAsia" w:cstheme="minorEastAsia"/>
          <w:b/>
          <w:sz w:val="30"/>
          <w:szCs w:val="30"/>
        </w:rPr>
        <w:t>第十七条 任职资历</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1、具有大学本科及以上学历，或具备财会类、经济类、管理类、统计类、计算机、工程类等高级专业技术职称之一。</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2、担任企业董事长、总经理、副总经理、总会计师（包括首席财务官、管理合伙人、财务总监等）、大型企业财</w:t>
      </w:r>
      <w:r>
        <w:rPr>
          <w:rFonts w:hint="eastAsia" w:ascii="仿宋_GB2312" w:eastAsia="仿宋_GB2312" w:hAnsiTheme="majorEastAsia" w:cstheme="minorEastAsia"/>
          <w:sz w:val="30"/>
          <w:szCs w:val="30"/>
          <w:lang w:val="en-US" w:eastAsia="zh-CN"/>
        </w:rPr>
        <w:t>会</w:t>
      </w:r>
      <w:r>
        <w:rPr>
          <w:rFonts w:hint="eastAsia" w:ascii="仿宋_GB2312" w:eastAsia="仿宋_GB2312" w:hAnsiTheme="majorEastAsia" w:cstheme="minorEastAsia"/>
          <w:sz w:val="30"/>
          <w:szCs w:val="30"/>
        </w:rPr>
        <w:t>部门负责人、事业单位总会计师及履行总会计师职能的财务负责人。</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第十八条 能力要求</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1、宏观经济形势的认知和判断能力。能够准确执行和把握各财经监管机构的政策，熟悉国家经济体制和自身管理领域相关的制度，确保所在单位经营的合法合规。</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2、战略规划能力。能够对本单位的经营进行科学预测，并能有效地制订战略规划，及时引导和调整战略布局，并针对财务及经营管理中的现实情况和问题，做出必要的调整，确保本单位长期稳健发展。</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3、较强的决策能力和创新能力。多谋善断，善于分析并落实决策目标、细化决策方案，化解突出矛盾，善于针对问题、解决问题。能够根据所在单位的管理会计实务在企业管理和管理会计应用方面进行理论创新和应用创新。</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4、优秀的组织协调能力。善于平衡本单位内部的利益冲突，统筹规划本单位的战略规划、经营管理和风险控制，提升本单位持续创造价值的能力。</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5、具备突发事件处置能力。在日常管理中，能够做好有效的风险防范、预警和评估，对经济舆情有高度敏感性，善于总结事件成因，善于处理复杂性、突发性问题。</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第十九条 理论与实践成果</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申请人应掌握管理会计专业理论和专业知识，近五年来，发表或完成在本单位业财融合实践中取得的管理会计成果，满足下列条件之一：</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1、结合本单位管理会计实践形成的管理会计案例；</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2、在《中国管理会计》杂志等专业期刊上以独立或第一作者身份发表管理会计领域专业论文；</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3、正式出版管理会计领域有价值的论著或译著；</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4、主持省部级或全国一级社团立项的管理会计相关专业科研课题，并经财政部或省部级业务主管部门组织的专家鉴定通过，认为具有重要价值。</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申请人应确定1项成果（案例或论文、著作、课题）作为送审作品。</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第二十条 工作业绩</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申请人应在本单位战略规划、经营决策、风险控制和业绩评价中发挥重要作用，为促进本单位管理升级、提质增效、价值创造等方面做出重要贡献，并取得至少一项下列成绩：　</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1、在制定并组织实施本单位战略管理过程中，取得显著成绩并发挥主要作用，为提升企业核心竞争力作出贡献；</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2、在制定并组织实施本单位预算管理、成本管理、绩效管理、投融资管理等方面取得突出成绩；</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3、在深化本单位改革和建立现代企业制度中发挥决策作用，并在资产经营、资本运作、资金管理、内部控制等方面取得显著成绩；</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4、在贯彻执行国家有关政策规定，解决重大实际问题方面取得显著的经济效益、社会效益或生态效益。</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第二十一条 任职单位规模</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申请人任职单位的规模应具备下列条件之一：</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1、申请人所在单位为企业的，其所在单位应为上市公司或大中型企业，包含国有企业、民营企业、股份制企业、外商独资及合资企业等所有制类型；</w:t>
      </w:r>
    </w:p>
    <w:p>
      <w:pPr>
        <w:ind w:firstLine="600" w:firstLineChars="200"/>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2、申请人所在单位为事业单位的，其所在单位应为三甲医院、双一流高校或985或211高校等事业单位；</w:t>
      </w:r>
    </w:p>
    <w:p>
      <w:pPr>
        <w:ind w:firstLine="639" w:firstLineChars="213"/>
        <w:rPr>
          <w:rFonts w:ascii="仿宋_GB2312" w:eastAsia="仿宋_GB2312" w:hAnsiTheme="majorEastAsia" w:cstheme="minorEastAsia"/>
          <w:sz w:val="30"/>
          <w:szCs w:val="30"/>
        </w:rPr>
      </w:pPr>
      <w:r>
        <w:rPr>
          <w:rFonts w:hint="eastAsia" w:ascii="仿宋_GB2312" w:eastAsia="仿宋_GB2312" w:hAnsiTheme="majorEastAsia" w:cstheme="minorEastAsia"/>
          <w:sz w:val="30"/>
          <w:szCs w:val="30"/>
        </w:rPr>
        <w:t>3、其他单位的申请人，其任职单位规模参照上述规定。</w:t>
      </w:r>
    </w:p>
    <w:p>
      <w:pPr>
        <w:jc w:val="center"/>
        <w:rPr>
          <w:rFonts w:ascii="仿宋_GB2312" w:eastAsia="仿宋_GB2312" w:hAnsiTheme="majorEastAsia" w:cstheme="minorEastAsia"/>
          <w:b/>
          <w:bCs/>
          <w:sz w:val="30"/>
          <w:szCs w:val="30"/>
        </w:rPr>
      </w:pPr>
      <w:r>
        <w:rPr>
          <w:rFonts w:hint="eastAsia" w:ascii="仿宋_GB2312" w:eastAsia="仿宋_GB2312" w:hAnsiTheme="majorEastAsia" w:cstheme="minorEastAsia"/>
          <w:b/>
          <w:bCs/>
          <w:sz w:val="30"/>
          <w:szCs w:val="30"/>
        </w:rPr>
        <w:t>第五章 附 则</w:t>
      </w:r>
    </w:p>
    <w:p>
      <w:pPr>
        <w:ind w:firstLine="602" w:firstLineChars="200"/>
        <w:rPr>
          <w:rFonts w:ascii="仿宋_GB2312" w:eastAsia="仿宋_GB2312" w:hAnsiTheme="majorEastAsia" w:cstheme="minorEastAsia"/>
          <w:sz w:val="30"/>
          <w:szCs w:val="30"/>
        </w:rPr>
      </w:pPr>
      <w:r>
        <w:rPr>
          <w:rFonts w:hint="eastAsia" w:ascii="仿宋_GB2312" w:eastAsia="仿宋_GB2312" w:hAnsiTheme="majorEastAsia" w:cstheme="minorEastAsia"/>
          <w:b/>
          <w:sz w:val="30"/>
          <w:szCs w:val="30"/>
        </w:rPr>
        <w:t xml:space="preserve">第二十二条 </w:t>
      </w:r>
      <w:r>
        <w:rPr>
          <w:rFonts w:hint="eastAsia" w:ascii="仿宋_GB2312" w:eastAsia="仿宋_GB2312" w:hAnsiTheme="majorEastAsia" w:cstheme="minorEastAsia"/>
          <w:sz w:val="30"/>
          <w:szCs w:val="30"/>
        </w:rPr>
        <w:t>本办法自颁布之日起执行。</w:t>
      </w:r>
    </w:p>
    <w:p>
      <w:pPr>
        <w:ind w:firstLine="602" w:firstLineChars="200"/>
        <w:rPr>
          <w:rFonts w:ascii="仿宋_GB2312" w:hAnsi="仿宋_GB2312" w:eastAsia="仿宋_GB2312" w:cs="仿宋_GB2312"/>
          <w:sz w:val="30"/>
          <w:szCs w:val="30"/>
        </w:rPr>
      </w:pPr>
      <w:r>
        <w:rPr>
          <w:rFonts w:hint="eastAsia" w:ascii="仿宋_GB2312" w:eastAsia="仿宋_GB2312" w:hAnsiTheme="majorEastAsia" w:cstheme="minorEastAsia"/>
          <w:b/>
          <w:sz w:val="30"/>
          <w:szCs w:val="30"/>
        </w:rPr>
        <w:t xml:space="preserve">第二十三条 </w:t>
      </w:r>
      <w:r>
        <w:rPr>
          <w:rFonts w:hint="eastAsia" w:ascii="仿宋_GB2312" w:eastAsia="仿宋_GB2312" w:hAnsiTheme="majorEastAsia" w:cstheme="minorEastAsia"/>
          <w:sz w:val="30"/>
          <w:szCs w:val="30"/>
        </w:rPr>
        <w:t xml:space="preserve">本办法由中总协秘书处负责解释。  </w:t>
      </w:r>
    </w:p>
    <w:p>
      <w:pPr>
        <w:spacing w:line="360" w:lineRule="auto"/>
        <w:ind w:right="-239" w:rightChars="-114"/>
        <w:jc w:val="left"/>
        <w:rPr>
          <w:rFonts w:ascii="仿宋_GB2312" w:eastAsia="仿宋_GB2312" w:hAnsiTheme="majorEastAsia"/>
          <w:sz w:val="22"/>
        </w:rPr>
      </w:pPr>
    </w:p>
    <w:p>
      <w:pPr>
        <w:ind w:firstLine="600" w:firstLineChars="200"/>
        <w:rPr>
          <w:rFonts w:ascii="仿宋_GB2312" w:hAnsi="仿宋_GB2312" w:eastAsia="仿宋_GB2312" w:cs="仿宋_GB2312"/>
          <w:sz w:val="30"/>
          <w:szCs w:val="30"/>
        </w:rPr>
      </w:pPr>
    </w:p>
    <w:sectPr>
      <w:footerReference r:id="rId3" w:type="default"/>
      <w:pgSz w:w="11906" w:h="16838"/>
      <w:pgMar w:top="1440" w:right="1689" w:bottom="1157"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663"/>
    <w:rsid w:val="00002297"/>
    <w:rsid w:val="00017FAA"/>
    <w:rsid w:val="000361CD"/>
    <w:rsid w:val="00047361"/>
    <w:rsid w:val="00067B40"/>
    <w:rsid w:val="00082C77"/>
    <w:rsid w:val="00085D56"/>
    <w:rsid w:val="00087B12"/>
    <w:rsid w:val="00093C33"/>
    <w:rsid w:val="000963FB"/>
    <w:rsid w:val="000A7E71"/>
    <w:rsid w:val="00102E3A"/>
    <w:rsid w:val="00115C1C"/>
    <w:rsid w:val="0012125C"/>
    <w:rsid w:val="00130A55"/>
    <w:rsid w:val="00130C27"/>
    <w:rsid w:val="00194AC5"/>
    <w:rsid w:val="001A0B7B"/>
    <w:rsid w:val="001A0E88"/>
    <w:rsid w:val="001A1006"/>
    <w:rsid w:val="001C2EBA"/>
    <w:rsid w:val="001C4E2D"/>
    <w:rsid w:val="001D1957"/>
    <w:rsid w:val="001D78FD"/>
    <w:rsid w:val="002341B7"/>
    <w:rsid w:val="00246E7E"/>
    <w:rsid w:val="002503CE"/>
    <w:rsid w:val="0026132C"/>
    <w:rsid w:val="00261E1D"/>
    <w:rsid w:val="00266780"/>
    <w:rsid w:val="00267787"/>
    <w:rsid w:val="00271BCA"/>
    <w:rsid w:val="002D0BAA"/>
    <w:rsid w:val="002D1B14"/>
    <w:rsid w:val="002E3AFD"/>
    <w:rsid w:val="002E4EB0"/>
    <w:rsid w:val="002F0002"/>
    <w:rsid w:val="002F4D99"/>
    <w:rsid w:val="003003D4"/>
    <w:rsid w:val="0030053D"/>
    <w:rsid w:val="00300878"/>
    <w:rsid w:val="003071A2"/>
    <w:rsid w:val="00327BB1"/>
    <w:rsid w:val="003361FB"/>
    <w:rsid w:val="00343598"/>
    <w:rsid w:val="00370268"/>
    <w:rsid w:val="003724BD"/>
    <w:rsid w:val="00390361"/>
    <w:rsid w:val="00390C10"/>
    <w:rsid w:val="003975E6"/>
    <w:rsid w:val="003B63C7"/>
    <w:rsid w:val="003C0BD3"/>
    <w:rsid w:val="003D5E77"/>
    <w:rsid w:val="003F2330"/>
    <w:rsid w:val="003F3934"/>
    <w:rsid w:val="003F3D17"/>
    <w:rsid w:val="0040411A"/>
    <w:rsid w:val="0040604F"/>
    <w:rsid w:val="0041568D"/>
    <w:rsid w:val="0043250A"/>
    <w:rsid w:val="004326E1"/>
    <w:rsid w:val="004408A4"/>
    <w:rsid w:val="00444084"/>
    <w:rsid w:val="00444901"/>
    <w:rsid w:val="0045476B"/>
    <w:rsid w:val="0046145C"/>
    <w:rsid w:val="004632F4"/>
    <w:rsid w:val="00491601"/>
    <w:rsid w:val="004A129D"/>
    <w:rsid w:val="004A2502"/>
    <w:rsid w:val="004A2916"/>
    <w:rsid w:val="004A3079"/>
    <w:rsid w:val="004B3F04"/>
    <w:rsid w:val="004C340C"/>
    <w:rsid w:val="004E3B9F"/>
    <w:rsid w:val="005118DB"/>
    <w:rsid w:val="00515924"/>
    <w:rsid w:val="00524298"/>
    <w:rsid w:val="005256F7"/>
    <w:rsid w:val="00526AC0"/>
    <w:rsid w:val="00554448"/>
    <w:rsid w:val="0056070C"/>
    <w:rsid w:val="0056274F"/>
    <w:rsid w:val="00566D2E"/>
    <w:rsid w:val="005854C1"/>
    <w:rsid w:val="005872C5"/>
    <w:rsid w:val="005A6C8B"/>
    <w:rsid w:val="005D10B8"/>
    <w:rsid w:val="005D2C2F"/>
    <w:rsid w:val="005D4B76"/>
    <w:rsid w:val="005E42B5"/>
    <w:rsid w:val="0063676B"/>
    <w:rsid w:val="006502CB"/>
    <w:rsid w:val="00656CE9"/>
    <w:rsid w:val="00657688"/>
    <w:rsid w:val="0067368B"/>
    <w:rsid w:val="00686D5B"/>
    <w:rsid w:val="006A59A5"/>
    <w:rsid w:val="006B1B9F"/>
    <w:rsid w:val="006B2F0A"/>
    <w:rsid w:val="006B61AE"/>
    <w:rsid w:val="006D5263"/>
    <w:rsid w:val="006E60DA"/>
    <w:rsid w:val="00723244"/>
    <w:rsid w:val="00732723"/>
    <w:rsid w:val="00741942"/>
    <w:rsid w:val="00756589"/>
    <w:rsid w:val="007709AC"/>
    <w:rsid w:val="007839F1"/>
    <w:rsid w:val="00785F60"/>
    <w:rsid w:val="007B40B0"/>
    <w:rsid w:val="007D0A37"/>
    <w:rsid w:val="007D4E16"/>
    <w:rsid w:val="007E1BB0"/>
    <w:rsid w:val="007E4714"/>
    <w:rsid w:val="007F1E3D"/>
    <w:rsid w:val="00820370"/>
    <w:rsid w:val="00827514"/>
    <w:rsid w:val="00832E6D"/>
    <w:rsid w:val="00834BDC"/>
    <w:rsid w:val="008378EB"/>
    <w:rsid w:val="0084688D"/>
    <w:rsid w:val="008478D3"/>
    <w:rsid w:val="00850A16"/>
    <w:rsid w:val="008644E2"/>
    <w:rsid w:val="00866346"/>
    <w:rsid w:val="00896B11"/>
    <w:rsid w:val="008A0B6B"/>
    <w:rsid w:val="008B0BEC"/>
    <w:rsid w:val="008B76C2"/>
    <w:rsid w:val="008C708E"/>
    <w:rsid w:val="008E0FBE"/>
    <w:rsid w:val="008F48CE"/>
    <w:rsid w:val="00916F35"/>
    <w:rsid w:val="009240F6"/>
    <w:rsid w:val="00934A84"/>
    <w:rsid w:val="00937305"/>
    <w:rsid w:val="0095054F"/>
    <w:rsid w:val="009553FB"/>
    <w:rsid w:val="00967732"/>
    <w:rsid w:val="009A4564"/>
    <w:rsid w:val="009A47F2"/>
    <w:rsid w:val="009B390A"/>
    <w:rsid w:val="009C5F91"/>
    <w:rsid w:val="009E23F4"/>
    <w:rsid w:val="009E3BDC"/>
    <w:rsid w:val="00A05C40"/>
    <w:rsid w:val="00A06105"/>
    <w:rsid w:val="00A151E0"/>
    <w:rsid w:val="00A20931"/>
    <w:rsid w:val="00A24B31"/>
    <w:rsid w:val="00A30A31"/>
    <w:rsid w:val="00A31663"/>
    <w:rsid w:val="00A3660E"/>
    <w:rsid w:val="00A47FF4"/>
    <w:rsid w:val="00A565D4"/>
    <w:rsid w:val="00A61D1C"/>
    <w:rsid w:val="00A80019"/>
    <w:rsid w:val="00A87B8C"/>
    <w:rsid w:val="00A958C9"/>
    <w:rsid w:val="00AA1B77"/>
    <w:rsid w:val="00AB0A41"/>
    <w:rsid w:val="00AC0E85"/>
    <w:rsid w:val="00AC3B1C"/>
    <w:rsid w:val="00AD3998"/>
    <w:rsid w:val="00AE704F"/>
    <w:rsid w:val="00AF1664"/>
    <w:rsid w:val="00AF2F7A"/>
    <w:rsid w:val="00B00438"/>
    <w:rsid w:val="00B012F3"/>
    <w:rsid w:val="00B02F0F"/>
    <w:rsid w:val="00B20A06"/>
    <w:rsid w:val="00B226F4"/>
    <w:rsid w:val="00B321B7"/>
    <w:rsid w:val="00B33E36"/>
    <w:rsid w:val="00B523C4"/>
    <w:rsid w:val="00B54A22"/>
    <w:rsid w:val="00B91C09"/>
    <w:rsid w:val="00BB4F87"/>
    <w:rsid w:val="00BC35D9"/>
    <w:rsid w:val="00BC65A1"/>
    <w:rsid w:val="00BD0D21"/>
    <w:rsid w:val="00BD1F41"/>
    <w:rsid w:val="00BD3E55"/>
    <w:rsid w:val="00BE73D3"/>
    <w:rsid w:val="00C16FD1"/>
    <w:rsid w:val="00C20496"/>
    <w:rsid w:val="00C2683C"/>
    <w:rsid w:val="00C34EB8"/>
    <w:rsid w:val="00C36648"/>
    <w:rsid w:val="00C41646"/>
    <w:rsid w:val="00C4266A"/>
    <w:rsid w:val="00C61576"/>
    <w:rsid w:val="00C63C2E"/>
    <w:rsid w:val="00C65B08"/>
    <w:rsid w:val="00C90F6D"/>
    <w:rsid w:val="00C94952"/>
    <w:rsid w:val="00C97AC9"/>
    <w:rsid w:val="00CA2386"/>
    <w:rsid w:val="00CB0829"/>
    <w:rsid w:val="00CB2864"/>
    <w:rsid w:val="00CB592C"/>
    <w:rsid w:val="00CC0EB3"/>
    <w:rsid w:val="00CC6309"/>
    <w:rsid w:val="00CD069A"/>
    <w:rsid w:val="00CD0FC8"/>
    <w:rsid w:val="00CF51FA"/>
    <w:rsid w:val="00CF5659"/>
    <w:rsid w:val="00D158F3"/>
    <w:rsid w:val="00D25712"/>
    <w:rsid w:val="00D3287A"/>
    <w:rsid w:val="00D35B2B"/>
    <w:rsid w:val="00D42D44"/>
    <w:rsid w:val="00D42D79"/>
    <w:rsid w:val="00D56D37"/>
    <w:rsid w:val="00D56E6B"/>
    <w:rsid w:val="00D70839"/>
    <w:rsid w:val="00DA11EA"/>
    <w:rsid w:val="00DB3E00"/>
    <w:rsid w:val="00DB5DB0"/>
    <w:rsid w:val="00DC1444"/>
    <w:rsid w:val="00DC43E6"/>
    <w:rsid w:val="00DD2BA6"/>
    <w:rsid w:val="00DE38CD"/>
    <w:rsid w:val="00DF150F"/>
    <w:rsid w:val="00DF18BF"/>
    <w:rsid w:val="00E01965"/>
    <w:rsid w:val="00E02294"/>
    <w:rsid w:val="00E141AB"/>
    <w:rsid w:val="00E1587F"/>
    <w:rsid w:val="00E31EB5"/>
    <w:rsid w:val="00E5633B"/>
    <w:rsid w:val="00E56E81"/>
    <w:rsid w:val="00E57F73"/>
    <w:rsid w:val="00E74537"/>
    <w:rsid w:val="00E80FB7"/>
    <w:rsid w:val="00E85C07"/>
    <w:rsid w:val="00E9202D"/>
    <w:rsid w:val="00EB324E"/>
    <w:rsid w:val="00EC733A"/>
    <w:rsid w:val="00ED068C"/>
    <w:rsid w:val="00ED20A6"/>
    <w:rsid w:val="00ED44F9"/>
    <w:rsid w:val="00EE16E7"/>
    <w:rsid w:val="00EE3E9A"/>
    <w:rsid w:val="00EE5386"/>
    <w:rsid w:val="00EF2067"/>
    <w:rsid w:val="00F0495A"/>
    <w:rsid w:val="00F15AC4"/>
    <w:rsid w:val="00F167B1"/>
    <w:rsid w:val="00F17521"/>
    <w:rsid w:val="00F35210"/>
    <w:rsid w:val="00F720D0"/>
    <w:rsid w:val="00F74F09"/>
    <w:rsid w:val="00F772CE"/>
    <w:rsid w:val="00F80C15"/>
    <w:rsid w:val="00F86063"/>
    <w:rsid w:val="00FB2750"/>
    <w:rsid w:val="00FB34A3"/>
    <w:rsid w:val="00FC32EF"/>
    <w:rsid w:val="00FE3417"/>
    <w:rsid w:val="00FF0C65"/>
    <w:rsid w:val="00FF7F17"/>
    <w:rsid w:val="017D6BBB"/>
    <w:rsid w:val="028B7A4A"/>
    <w:rsid w:val="02EF0A3A"/>
    <w:rsid w:val="03344FDC"/>
    <w:rsid w:val="039E77A7"/>
    <w:rsid w:val="043A34F9"/>
    <w:rsid w:val="044B3C15"/>
    <w:rsid w:val="046B7CD8"/>
    <w:rsid w:val="05C7253C"/>
    <w:rsid w:val="06E46FCA"/>
    <w:rsid w:val="09060A90"/>
    <w:rsid w:val="094E4DB3"/>
    <w:rsid w:val="0B516EFE"/>
    <w:rsid w:val="0C1B0F7E"/>
    <w:rsid w:val="0D520B67"/>
    <w:rsid w:val="0DB57643"/>
    <w:rsid w:val="0DE21973"/>
    <w:rsid w:val="0E190D3E"/>
    <w:rsid w:val="0E194DEC"/>
    <w:rsid w:val="0E820CC5"/>
    <w:rsid w:val="0ED629FF"/>
    <w:rsid w:val="0F0A4533"/>
    <w:rsid w:val="0F206B7D"/>
    <w:rsid w:val="0F6044EE"/>
    <w:rsid w:val="0F624378"/>
    <w:rsid w:val="0F867419"/>
    <w:rsid w:val="0F94498E"/>
    <w:rsid w:val="0FCB0711"/>
    <w:rsid w:val="10290561"/>
    <w:rsid w:val="1034544A"/>
    <w:rsid w:val="10677899"/>
    <w:rsid w:val="10B33287"/>
    <w:rsid w:val="1102643A"/>
    <w:rsid w:val="116152EC"/>
    <w:rsid w:val="120B26F8"/>
    <w:rsid w:val="127E2B48"/>
    <w:rsid w:val="141855FC"/>
    <w:rsid w:val="16515C6D"/>
    <w:rsid w:val="16632ECF"/>
    <w:rsid w:val="1683720B"/>
    <w:rsid w:val="1773079B"/>
    <w:rsid w:val="19FD2764"/>
    <w:rsid w:val="1B8D4465"/>
    <w:rsid w:val="1C0A3099"/>
    <w:rsid w:val="1C2449B3"/>
    <w:rsid w:val="1C5F1A6B"/>
    <w:rsid w:val="1CB168CF"/>
    <w:rsid w:val="1D980197"/>
    <w:rsid w:val="1E7E6852"/>
    <w:rsid w:val="1EF21139"/>
    <w:rsid w:val="1FA63043"/>
    <w:rsid w:val="1FAC32AC"/>
    <w:rsid w:val="1FB87475"/>
    <w:rsid w:val="200C54AE"/>
    <w:rsid w:val="20A94218"/>
    <w:rsid w:val="20F87CB8"/>
    <w:rsid w:val="224F659C"/>
    <w:rsid w:val="22C11774"/>
    <w:rsid w:val="22E40C8C"/>
    <w:rsid w:val="248A0F9F"/>
    <w:rsid w:val="24DC3D3F"/>
    <w:rsid w:val="24FD4459"/>
    <w:rsid w:val="2517074A"/>
    <w:rsid w:val="261D36BC"/>
    <w:rsid w:val="27137938"/>
    <w:rsid w:val="272C5EF0"/>
    <w:rsid w:val="27382D1A"/>
    <w:rsid w:val="2793628F"/>
    <w:rsid w:val="28163BD4"/>
    <w:rsid w:val="28173010"/>
    <w:rsid w:val="294A22B5"/>
    <w:rsid w:val="29837D61"/>
    <w:rsid w:val="298C6F86"/>
    <w:rsid w:val="2ACD60A3"/>
    <w:rsid w:val="2B78625E"/>
    <w:rsid w:val="2BA66134"/>
    <w:rsid w:val="2BB94D46"/>
    <w:rsid w:val="2C3F45D3"/>
    <w:rsid w:val="2C7663BD"/>
    <w:rsid w:val="2CA018ED"/>
    <w:rsid w:val="2D255C2D"/>
    <w:rsid w:val="2D936237"/>
    <w:rsid w:val="2DBB576F"/>
    <w:rsid w:val="2E842950"/>
    <w:rsid w:val="2F551F61"/>
    <w:rsid w:val="2F916C58"/>
    <w:rsid w:val="319F3694"/>
    <w:rsid w:val="31D81DC9"/>
    <w:rsid w:val="330C32A6"/>
    <w:rsid w:val="333C6E31"/>
    <w:rsid w:val="33851B48"/>
    <w:rsid w:val="33D67AA0"/>
    <w:rsid w:val="34E7070C"/>
    <w:rsid w:val="354632F3"/>
    <w:rsid w:val="35815072"/>
    <w:rsid w:val="35DA69C2"/>
    <w:rsid w:val="35F72B48"/>
    <w:rsid w:val="3602094E"/>
    <w:rsid w:val="369042CA"/>
    <w:rsid w:val="37666FC4"/>
    <w:rsid w:val="376E3817"/>
    <w:rsid w:val="37D73B68"/>
    <w:rsid w:val="38655E3D"/>
    <w:rsid w:val="38A41F37"/>
    <w:rsid w:val="39DF29B4"/>
    <w:rsid w:val="3B0A5C43"/>
    <w:rsid w:val="3B2F6BC2"/>
    <w:rsid w:val="3B7D1B67"/>
    <w:rsid w:val="3BB27E8C"/>
    <w:rsid w:val="3BBD7547"/>
    <w:rsid w:val="3BC051FE"/>
    <w:rsid w:val="3BC32BCC"/>
    <w:rsid w:val="3C0749DF"/>
    <w:rsid w:val="3C1E7078"/>
    <w:rsid w:val="3C5043C8"/>
    <w:rsid w:val="3CE2484A"/>
    <w:rsid w:val="3CFA2E3B"/>
    <w:rsid w:val="3D5A4A7E"/>
    <w:rsid w:val="3D726066"/>
    <w:rsid w:val="3D9D7897"/>
    <w:rsid w:val="3DFA2195"/>
    <w:rsid w:val="3F2C202D"/>
    <w:rsid w:val="40AB2E1D"/>
    <w:rsid w:val="41D47A5A"/>
    <w:rsid w:val="41F42C0E"/>
    <w:rsid w:val="42CB00F1"/>
    <w:rsid w:val="42CE2A9F"/>
    <w:rsid w:val="434619B0"/>
    <w:rsid w:val="436E7CEC"/>
    <w:rsid w:val="43B6435F"/>
    <w:rsid w:val="45375738"/>
    <w:rsid w:val="453A3AB2"/>
    <w:rsid w:val="45C97ADA"/>
    <w:rsid w:val="46D43643"/>
    <w:rsid w:val="47873F4E"/>
    <w:rsid w:val="47CF0E73"/>
    <w:rsid w:val="48940EFA"/>
    <w:rsid w:val="49D36EE5"/>
    <w:rsid w:val="4A3A4FF8"/>
    <w:rsid w:val="4B672F65"/>
    <w:rsid w:val="4C74032B"/>
    <w:rsid w:val="4CF04A2E"/>
    <w:rsid w:val="4D173BD4"/>
    <w:rsid w:val="4D62638A"/>
    <w:rsid w:val="4FB545F6"/>
    <w:rsid w:val="4FCC6B59"/>
    <w:rsid w:val="50464626"/>
    <w:rsid w:val="5058138C"/>
    <w:rsid w:val="505C3747"/>
    <w:rsid w:val="51230CCA"/>
    <w:rsid w:val="51936E25"/>
    <w:rsid w:val="51A51DF9"/>
    <w:rsid w:val="521D5955"/>
    <w:rsid w:val="53257EE5"/>
    <w:rsid w:val="56247F03"/>
    <w:rsid w:val="56FB62CB"/>
    <w:rsid w:val="570E601E"/>
    <w:rsid w:val="572629F2"/>
    <w:rsid w:val="57C067B3"/>
    <w:rsid w:val="5904406F"/>
    <w:rsid w:val="592C7EFD"/>
    <w:rsid w:val="59330779"/>
    <w:rsid w:val="594C5679"/>
    <w:rsid w:val="596C5736"/>
    <w:rsid w:val="59B57AB7"/>
    <w:rsid w:val="59D37730"/>
    <w:rsid w:val="5A81561C"/>
    <w:rsid w:val="5C094E09"/>
    <w:rsid w:val="5C5B6225"/>
    <w:rsid w:val="5C6029F6"/>
    <w:rsid w:val="5CB425F0"/>
    <w:rsid w:val="5D5709B6"/>
    <w:rsid w:val="5E192E66"/>
    <w:rsid w:val="5ED676DA"/>
    <w:rsid w:val="5F6D59C0"/>
    <w:rsid w:val="60B87DE1"/>
    <w:rsid w:val="61560774"/>
    <w:rsid w:val="61D86F50"/>
    <w:rsid w:val="62E3443D"/>
    <w:rsid w:val="63264FD7"/>
    <w:rsid w:val="63364151"/>
    <w:rsid w:val="634A4A4F"/>
    <w:rsid w:val="635B6C8D"/>
    <w:rsid w:val="654F297D"/>
    <w:rsid w:val="65B65D02"/>
    <w:rsid w:val="65DF3ED8"/>
    <w:rsid w:val="67176163"/>
    <w:rsid w:val="676506CD"/>
    <w:rsid w:val="6860512F"/>
    <w:rsid w:val="68D55339"/>
    <w:rsid w:val="69204604"/>
    <w:rsid w:val="6A101939"/>
    <w:rsid w:val="6A246E8A"/>
    <w:rsid w:val="6A76018B"/>
    <w:rsid w:val="6A83507B"/>
    <w:rsid w:val="6AD26F3F"/>
    <w:rsid w:val="6AFD289F"/>
    <w:rsid w:val="6BE25922"/>
    <w:rsid w:val="6C5204D0"/>
    <w:rsid w:val="6D1B2B25"/>
    <w:rsid w:val="6D1B42B7"/>
    <w:rsid w:val="6D8162B9"/>
    <w:rsid w:val="6E0D2081"/>
    <w:rsid w:val="6EF55731"/>
    <w:rsid w:val="6F27654E"/>
    <w:rsid w:val="6F3C2485"/>
    <w:rsid w:val="703A0718"/>
    <w:rsid w:val="709471EC"/>
    <w:rsid w:val="72BD5143"/>
    <w:rsid w:val="735A51E0"/>
    <w:rsid w:val="737655A5"/>
    <w:rsid w:val="73883A92"/>
    <w:rsid w:val="73BC4CBE"/>
    <w:rsid w:val="74176EE6"/>
    <w:rsid w:val="7460270C"/>
    <w:rsid w:val="74FF5040"/>
    <w:rsid w:val="750951B1"/>
    <w:rsid w:val="75625FD9"/>
    <w:rsid w:val="75BC424B"/>
    <w:rsid w:val="75C471B6"/>
    <w:rsid w:val="76071464"/>
    <w:rsid w:val="77252523"/>
    <w:rsid w:val="77310183"/>
    <w:rsid w:val="77721D86"/>
    <w:rsid w:val="77765E8D"/>
    <w:rsid w:val="77D94B00"/>
    <w:rsid w:val="780D44AB"/>
    <w:rsid w:val="7812780C"/>
    <w:rsid w:val="784E4232"/>
    <w:rsid w:val="795E0EC9"/>
    <w:rsid w:val="7B5A49F8"/>
    <w:rsid w:val="7C380006"/>
    <w:rsid w:val="7C64507B"/>
    <w:rsid w:val="7D417848"/>
    <w:rsid w:val="7DF55B0E"/>
    <w:rsid w:val="7E356F98"/>
    <w:rsid w:val="7F483B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jc w:val="left"/>
    </w:pPr>
    <w:rPr>
      <w:rFonts w:cs="Times New Roman"/>
      <w:kern w:val="0"/>
      <w:sz w:val="24"/>
    </w:rPr>
  </w:style>
  <w:style w:type="character" w:styleId="6">
    <w:name w:val="Strong"/>
    <w:basedOn w:val="5"/>
    <w:qFormat/>
    <w:locked/>
    <w:uiPriority w:val="0"/>
    <w:rPr>
      <w:b/>
    </w:rPr>
  </w:style>
  <w:style w:type="character" w:styleId="7">
    <w:name w:val="Emphasis"/>
    <w:basedOn w:val="5"/>
    <w:qFormat/>
    <w:locked/>
    <w:uiPriority w:val="0"/>
    <w:rPr>
      <w:color w:val="CC0000"/>
    </w:rPr>
  </w:style>
  <w:style w:type="character" w:styleId="8">
    <w:name w:val="Hyperlink"/>
    <w:basedOn w:val="5"/>
    <w:qFormat/>
    <w:uiPriority w:val="0"/>
    <w:rPr>
      <w:color w:val="0000FF"/>
      <w:u w:val="single"/>
    </w:rPr>
  </w:style>
  <w:style w:type="character" w:styleId="9">
    <w:name w:val="HTML Cite"/>
    <w:basedOn w:val="5"/>
    <w:semiHidden/>
    <w:unhideWhenUsed/>
    <w:qFormat/>
    <w:uiPriority w:val="99"/>
    <w:rPr>
      <w:color w:val="008000"/>
    </w:rPr>
  </w:style>
  <w:style w:type="character" w:customStyle="1" w:styleId="11">
    <w:name w:val="页眉 Char"/>
    <w:basedOn w:val="5"/>
    <w:link w:val="3"/>
    <w:semiHidden/>
    <w:qFormat/>
    <w:locked/>
    <w:uiPriority w:val="99"/>
    <w:rPr>
      <w:sz w:val="18"/>
      <w:szCs w:val="18"/>
    </w:rPr>
  </w:style>
  <w:style w:type="character" w:customStyle="1" w:styleId="12">
    <w:name w:val="页脚 Char"/>
    <w:basedOn w:val="5"/>
    <w:link w:val="2"/>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F334B-E4EE-4427-8291-C10894AB26B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509</Words>
  <Characters>2902</Characters>
  <Lines>24</Lines>
  <Paragraphs>6</Paragraphs>
  <TotalTime>101</TotalTime>
  <ScaleCrop>false</ScaleCrop>
  <LinksUpToDate>false</LinksUpToDate>
  <CharactersWithSpaces>3405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2014-06-30T00:53:00Z</dcterms:created>
  <dc:creator>User</dc:creator>
  <cp:lastModifiedBy>总会会员部</cp:lastModifiedBy>
  <cp:lastPrinted>2019-05-23T06:29:00Z</cp:lastPrinted>
  <dcterms:modified xsi:type="dcterms:W3CDTF">2019-06-04T06:13:18Z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